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0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</w:t>
      </w:r>
      <w:r>
        <w:rPr>
          <w:rFonts w:ascii="Times New Roman" w:hAnsi="Times New Roman"/>
          <w:sz w:val="26"/>
          <w:szCs w:val="26"/>
        </w:rPr>
        <w:t xml:space="preserve">ТВЕРЖДАЮ: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0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>
        <w:rPr>
          <w:rFonts w:ascii="Times New Roman" w:hAnsi="Times New Roman"/>
          <w:sz w:val="26"/>
          <w:szCs w:val="26"/>
        </w:rPr>
        <w:t xml:space="preserve">по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техническим вопросам –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0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инженер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0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0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_________________</w:t>
      </w:r>
      <w:r>
        <w:rPr>
          <w:rFonts w:ascii="Times New Roman" w:hAnsi="Times New Roman"/>
          <w:sz w:val="26"/>
          <w:szCs w:val="26"/>
        </w:rPr>
        <w:t xml:space="preserve">А.И. Таранков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0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«___»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________________2025</w:t>
      </w:r>
      <w:r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51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8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на поставку </w:t>
      </w:r>
      <w:r>
        <w:rPr>
          <w:sz w:val="26"/>
          <w:szCs w:val="26"/>
        </w:rPr>
        <w:t xml:space="preserve">специальной обуви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51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51"/>
        <w:ind w:firstLine="709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1. Общие положения.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1"/>
        <w:ind w:firstLine="709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1.1 Заказчик: АО «</w:t>
      </w:r>
      <w:r>
        <w:rPr>
          <w:rFonts w:ascii="Tinos" w:hAnsi="Tinos" w:eastAsia="Tinos" w:cs="Tinos"/>
          <w:sz w:val="26"/>
          <w:szCs w:val="26"/>
        </w:rPr>
        <w:t xml:space="preserve">Россети </w:t>
      </w:r>
      <w:r>
        <w:rPr>
          <w:rFonts w:ascii="Tinos" w:hAnsi="Tinos" w:eastAsia="Tinos" w:cs="Tinos"/>
          <w:sz w:val="26"/>
          <w:szCs w:val="26"/>
        </w:rPr>
        <w:t xml:space="preserve">Сибирь </w:t>
      </w:r>
      <w:r>
        <w:rPr>
          <w:rFonts w:ascii="Tinos" w:hAnsi="Tinos" w:eastAsia="Tinos" w:cs="Tinos"/>
          <w:sz w:val="26"/>
          <w:szCs w:val="26"/>
        </w:rPr>
        <w:t xml:space="preserve">Тываэнерго»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1"/>
        <w:ind w:firstLine="709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1.2 Предмет закупки: поставка </w:t>
      </w:r>
      <w:r>
        <w:rPr>
          <w:rFonts w:ascii="Tinos" w:hAnsi="Tinos" w:eastAsia="Tinos" w:cs="Tinos"/>
          <w:sz w:val="26"/>
          <w:szCs w:val="26"/>
        </w:rPr>
        <w:t xml:space="preserve">специальной обуви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1"/>
        <w:ind w:firstLine="568"/>
        <w:jc w:val="center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 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1"/>
        <w:ind w:firstLine="709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2. Место, срок и условия поставки Продукции.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2.1 Место поставки: Центральный склад, г. Кызыл, ул. Колхозная</w:t>
      </w:r>
      <w:r>
        <w:rPr>
          <w:rFonts w:ascii="Tinos" w:hAnsi="Tinos" w:eastAsia="Tinos" w:cs="Tinos"/>
          <w:sz w:val="26"/>
          <w:szCs w:val="26"/>
        </w:rPr>
        <w:t xml:space="preserve">, 2</w:t>
      </w:r>
      <w:r>
        <w:rPr>
          <w:rFonts w:ascii="Tinos" w:hAnsi="Tinos" w:eastAsia="Tinos" w:cs="Tinos"/>
          <w:sz w:val="26"/>
          <w:szCs w:val="26"/>
        </w:rPr>
        <w:t xml:space="preserve">б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contextualSpacing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2.2 </w:t>
      </w:r>
      <w:r>
        <w:rPr>
          <w:rFonts w:ascii="Tinos" w:hAnsi="Tinos" w:eastAsia="Tinos" w:cs="Tinos"/>
          <w:sz w:val="26"/>
          <w:szCs w:val="26"/>
        </w:rPr>
        <w:t xml:space="preserve">Поставка продукции осуществляется до места поставки силами и средст</w:t>
      </w:r>
      <w:r>
        <w:rPr>
          <w:rFonts w:ascii="Tinos" w:hAnsi="Tinos" w:eastAsia="Tinos" w:cs="Tinos"/>
          <w:sz w:val="26"/>
          <w:szCs w:val="26"/>
        </w:rPr>
        <w:t xml:space="preserve">вами поставщика.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contextualSpacing/>
        <w:ind w:firstLine="709"/>
        <w:jc w:val="both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должны соответствовать требованиям, указанным в технических условиях изготовителя изделия, требованиям ГОС</w:t>
      </w:r>
      <w:r>
        <w:rPr>
          <w:rFonts w:ascii="Tinos" w:hAnsi="Tinos" w:eastAsia="Tinos" w:cs="Tinos"/>
          <w:sz w:val="26"/>
          <w:szCs w:val="26"/>
        </w:rPr>
        <w:t xml:space="preserve">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2.3 Срок поставки:</w:t>
      </w:r>
      <w:r>
        <w:rPr>
          <w:rFonts w:ascii="Tinos" w:hAnsi="Tinos" w:eastAsia="Tinos" w:cs="Tinos"/>
          <w:sz w:val="26"/>
          <w:szCs w:val="26"/>
        </w:rPr>
        <w:t xml:space="preserve"> c даты заключения договора по 10.12.2025г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по заявкам Заказчика. Заявка подаетс</w:t>
      </w:r>
      <w:r>
        <w:rPr>
          <w:rFonts w:ascii="Tinos" w:hAnsi="Tinos" w:eastAsia="Tinos" w:cs="Tinos"/>
          <w:sz w:val="26"/>
          <w:szCs w:val="26"/>
        </w:rPr>
        <w:t xml:space="preserve">я не позднее за 30 календарных дней до даты поставки товара на склад Заказчика (планируемое количество заявок – не более 4-х.</w:t>
      </w:r>
      <w:r>
        <w:rPr>
          <w:rFonts w:ascii="Tinos" w:hAnsi="Tinos" w:eastAsia="Tinos" w:cs="Tinos"/>
          <w:sz w:val="26"/>
          <w:szCs w:val="26"/>
        </w:rPr>
        <w:t xml:space="preserve">)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8"/>
        <w:ind w:firstLine="568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1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3. </w:t>
      </w:r>
      <w:r>
        <w:rPr>
          <w:rFonts w:ascii="Tinos" w:hAnsi="Tinos" w:eastAsia="Tinos" w:cs="Tinos"/>
          <w:b/>
          <w:bCs/>
          <w:sz w:val="26"/>
          <w:szCs w:val="26"/>
        </w:rPr>
        <w:t xml:space="preserve">Цена, перечень и объемы поставки Продукции</w:t>
      </w:r>
      <w:r>
        <w:rPr>
          <w:rFonts w:ascii="Tinos" w:hAnsi="Tinos" w:eastAsia="Tinos" w:cs="Tinos"/>
          <w:b/>
          <w:bCs/>
          <w:sz w:val="26"/>
          <w:szCs w:val="26"/>
        </w:rPr>
        <w:t xml:space="preserve">.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3.1. </w:t>
      </w:r>
      <w:r>
        <w:rPr>
          <w:rFonts w:ascii="Tinos" w:hAnsi="Tinos" w:eastAsia="Tinos" w:cs="Tinos"/>
          <w:sz w:val="26"/>
          <w:szCs w:val="26"/>
        </w:rPr>
        <w:t xml:space="preserve">Общая цена, п</w:t>
      </w:r>
      <w:r>
        <w:rPr>
          <w:rFonts w:ascii="Tinos" w:hAnsi="Tinos" w:eastAsia="Tinos" w:cs="Tinos"/>
          <w:sz w:val="26"/>
          <w:szCs w:val="26"/>
        </w:rPr>
        <w:t xml:space="preserve">еречень и объемы поставляемой продукции указаны в приложении №</w:t>
      </w:r>
      <w:r>
        <w:rPr>
          <w:rFonts w:ascii="Tinos" w:hAnsi="Tinos" w:eastAsia="Tinos" w:cs="Tinos"/>
          <w:sz w:val="26"/>
          <w:szCs w:val="26"/>
        </w:rPr>
        <w:t xml:space="preserve">1 к настоящему техническому заданию</w:t>
      </w:r>
      <w:r>
        <w:rPr>
          <w:rFonts w:ascii="Tinos" w:hAnsi="Tinos" w:eastAsia="Tinos" w:cs="Tinos"/>
          <w:sz w:val="26"/>
          <w:szCs w:val="26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3.2. Заявка Заказчика, направляемая Поставщику в срок, составляющий не менее 30 календарных дней</w:t>
      </w:r>
      <w:r>
        <w:rPr>
          <w:rFonts w:ascii="Tinos" w:hAnsi="Tinos" w:eastAsia="Tinos" w:cs="Tinos"/>
          <w:sz w:val="26"/>
          <w:szCs w:val="26"/>
        </w:rPr>
        <w:t xml:space="preserve">, до планируемой даты поставки партии продукции должна содержать информацию о перечне, объеме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и цене продукции, входящих в </w:t>
      </w:r>
      <w:r>
        <w:rPr>
          <w:rFonts w:ascii="Tinos" w:hAnsi="Tinos" w:eastAsia="Tinos" w:cs="Tinos"/>
          <w:sz w:val="26"/>
          <w:szCs w:val="26"/>
        </w:rPr>
        <w:t xml:space="preserve">партию, с обязательным указанием размеров специальной обуви.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1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3.</w:t>
      </w:r>
      <w:r>
        <w:rPr>
          <w:rFonts w:ascii="Tinos" w:hAnsi="Tinos" w:eastAsia="Tinos" w:cs="Tinos"/>
          <w:sz w:val="26"/>
          <w:szCs w:val="26"/>
        </w:rPr>
        <w:t xml:space="preserve">3</w:t>
      </w:r>
      <w:r>
        <w:rPr>
          <w:rFonts w:ascii="Tinos" w:hAnsi="Tinos" w:eastAsia="Tinos" w:cs="Tinos"/>
          <w:sz w:val="26"/>
          <w:szCs w:val="26"/>
        </w:rPr>
        <w:t xml:space="preserve">.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</w:t>
      </w:r>
      <w:r>
        <w:rPr>
          <w:rFonts w:ascii="Tinos" w:hAnsi="Tinos" w:eastAsia="Tinos" w:cs="Tinos"/>
          <w:sz w:val="26"/>
          <w:szCs w:val="26"/>
        </w:rPr>
        <w:t xml:space="preserve">ва включены в стоимость заявки/предложения участника.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1"/>
        <w:ind w:firstLine="568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   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b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nos" w:hAnsi="Tinos" w:cs="Tinos"/>
          <w:b/>
          <w:sz w:val="26"/>
          <w:szCs w:val="26"/>
        </w:rPr>
      </w:r>
      <w:r>
        <w:rPr>
          <w:rFonts w:ascii="Tinos" w:hAnsi="Tinos" w:cs="Tinos"/>
          <w:b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4.1. Поставляемая продукция должна быть изготовлена в год поставки или предшествующий ему.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4.2. </w:t>
      </w:r>
      <w:r>
        <w:rPr>
          <w:rFonts w:ascii="Tinos" w:hAnsi="Tinos" w:eastAsia="Tinos" w:cs="Tinos"/>
          <w:sz w:val="26"/>
          <w:szCs w:val="26"/>
        </w:rPr>
        <w:t xml:space="preserve">Продукция должна быть ранее не использова</w:t>
      </w:r>
      <w:r>
        <w:rPr>
          <w:rFonts w:ascii="Tinos" w:hAnsi="Tinos" w:eastAsia="Tinos" w:cs="Tinos"/>
          <w:sz w:val="26"/>
          <w:szCs w:val="26"/>
        </w:rPr>
        <w:t xml:space="preserve">нной, и не подверженная ремонту или восстановлению</w:t>
      </w:r>
      <w:r>
        <w:rPr>
          <w:rFonts w:ascii="Tinos" w:hAnsi="Tinos" w:eastAsia="Tinos" w:cs="Tinos"/>
          <w:sz w:val="26"/>
          <w:szCs w:val="26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4.3. Поставляемая продукция должна соответствовать требованиям</w:t>
      </w:r>
      <w:r>
        <w:rPr>
          <w:rFonts w:ascii="Tinos" w:hAnsi="Tinos" w:eastAsia="Tinos" w:cs="Tinos"/>
          <w:sz w:val="26"/>
          <w:szCs w:val="26"/>
        </w:rPr>
        <w:t xml:space="preserve"> Положения ПАО «Россети» о единой технической политике в электросетевом комплексе</w:t>
      </w:r>
      <w:r>
        <w:rPr>
          <w:rFonts w:ascii="Tinos" w:hAnsi="Tinos" w:eastAsia="Tinos" w:cs="Tinos"/>
          <w:i/>
          <w:sz w:val="26"/>
          <w:szCs w:val="26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</w:t>
      </w:r>
      <w:r>
        <w:rPr>
          <w:rFonts w:ascii="Tinos" w:hAnsi="Tinos" w:eastAsia="Tinos" w:cs="Tinos"/>
          <w:sz w:val="26"/>
          <w:szCs w:val="26"/>
        </w:rPr>
        <w:t xml:space="preserve">4</w:t>
      </w:r>
      <w:r>
        <w:rPr>
          <w:rFonts w:ascii="Tinos" w:hAnsi="Tinos" w:eastAsia="Tinos" w:cs="Tinos"/>
          <w:sz w:val="26"/>
          <w:szCs w:val="26"/>
        </w:rPr>
        <w:t xml:space="preserve">. Продукция</w:t>
      </w:r>
      <w:r>
        <w:rPr>
          <w:rFonts w:ascii="Tinos" w:hAnsi="Tinos" w:eastAsia="Tinos" w:cs="Tinos"/>
          <w:sz w:val="26"/>
          <w:szCs w:val="26"/>
        </w:rPr>
        <w:t xml:space="preserve">,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внесенная в Единый перечень продукции, подл</w:t>
      </w:r>
      <w:r>
        <w:rPr>
          <w:rFonts w:ascii="Tinos" w:hAnsi="Tinos" w:eastAsia="Tinos" w:cs="Tinos"/>
          <w:sz w:val="26"/>
          <w:szCs w:val="26"/>
        </w:rPr>
        <w:t xml:space="preserve">ежащей обязательной сертификации </w:t>
      </w:r>
      <w:r>
        <w:rPr>
          <w:rFonts w:ascii="Tinos" w:hAnsi="Tinos" w:eastAsia="Tinos" w:cs="Tinos"/>
          <w:sz w:val="26"/>
          <w:szCs w:val="26"/>
        </w:rPr>
        <w:t xml:space="preserve">должна иметь сертификаты соответствия </w:t>
      </w:r>
      <w:r>
        <w:rPr>
          <w:rFonts w:ascii="Tinos" w:hAnsi="Tinos" w:eastAsia="Tinos" w:cs="Tinos"/>
          <w:sz w:val="26"/>
          <w:szCs w:val="26"/>
        </w:rPr>
        <w:t xml:space="preserve">ГОСТ Р.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4.5. </w:t>
      </w:r>
      <w:r>
        <w:rPr>
          <w:rFonts w:ascii="Tinos" w:hAnsi="Tinos" w:eastAsia="Tinos" w:cs="Tinos"/>
          <w:sz w:val="26"/>
          <w:szCs w:val="26"/>
        </w:rPr>
        <w:t xml:space="preserve">Продукция должна иметь иные </w:t>
      </w:r>
      <w:r>
        <w:rPr>
          <w:rFonts w:ascii="Tinos" w:hAnsi="Tinos" w:eastAsia="Tinos" w:cs="Tinos"/>
          <w:sz w:val="26"/>
          <w:szCs w:val="26"/>
        </w:rPr>
        <w:t xml:space="preserve">сертификаты (сертификат соответствия требованиям ТР ТС 019/2011).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i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</w:t>
      </w:r>
      <w:r>
        <w:rPr>
          <w:rFonts w:ascii="Tinos" w:hAnsi="Tinos" w:eastAsia="Tinos" w:cs="Tinos"/>
          <w:sz w:val="26"/>
          <w:szCs w:val="26"/>
        </w:rPr>
        <w:t xml:space="preserve">6</w:t>
      </w:r>
      <w:r>
        <w:rPr>
          <w:rFonts w:ascii="Tinos" w:hAnsi="Tinos" w:eastAsia="Tinos" w:cs="Tinos"/>
          <w:sz w:val="26"/>
          <w:szCs w:val="26"/>
        </w:rPr>
        <w:t xml:space="preserve">. </w:t>
      </w:r>
      <w:r>
        <w:rPr>
          <w:rFonts w:ascii="Tinos" w:hAnsi="Tinos" w:eastAsia="Tinos" w:cs="Tinos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nos" w:hAnsi="Tinos" w:eastAsia="Tinos" w:cs="Tinos"/>
          <w:sz w:val="26"/>
          <w:szCs w:val="26"/>
        </w:rPr>
        <w:t xml:space="preserve">аркировк</w:t>
      </w:r>
      <w:r>
        <w:rPr>
          <w:rFonts w:ascii="Tinos" w:hAnsi="Tinos" w:eastAsia="Tinos" w:cs="Tinos"/>
          <w:sz w:val="26"/>
          <w:szCs w:val="26"/>
        </w:rPr>
        <w:t xml:space="preserve">ой</w:t>
      </w:r>
      <w:r>
        <w:rPr>
          <w:rFonts w:ascii="Tinos" w:hAnsi="Tinos" w:eastAsia="Tinos" w:cs="Tinos"/>
          <w:sz w:val="26"/>
          <w:szCs w:val="26"/>
        </w:rPr>
        <w:t xml:space="preserve">, обеспечивающей потребителя полной информацией о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продукции</w:t>
      </w:r>
      <w:r>
        <w:rPr>
          <w:rFonts w:ascii="Tinos" w:hAnsi="Tinos" w:eastAsia="Tinos" w:cs="Tinos"/>
          <w:sz w:val="26"/>
          <w:szCs w:val="26"/>
        </w:rPr>
        <w:t xml:space="preserve"> (</w:t>
      </w:r>
      <w:r>
        <w:rPr>
          <w:rFonts w:ascii="Tinos" w:hAnsi="Tinos" w:eastAsia="Tinos" w:cs="Tinos"/>
          <w:sz w:val="26"/>
          <w:szCs w:val="26"/>
        </w:rPr>
        <w:t xml:space="preserve">иметь четкие обозначения изготовителя, номера партии и даты изготовления</w:t>
      </w:r>
      <w:r>
        <w:rPr>
          <w:rFonts w:ascii="Tinos" w:hAnsi="Tinos" w:eastAsia="Tinos" w:cs="Tinos"/>
          <w:sz w:val="26"/>
          <w:szCs w:val="26"/>
        </w:rPr>
        <w:t xml:space="preserve"> и т.д.)</w:t>
      </w:r>
      <w:r>
        <w:rPr>
          <w:rFonts w:ascii="Tinos" w:hAnsi="Tinos" w:eastAsia="Tinos" w:cs="Tinos"/>
          <w:i/>
          <w:sz w:val="26"/>
          <w:szCs w:val="26"/>
        </w:rPr>
        <w:t xml:space="preserve">.</w:t>
      </w:r>
      <w:r>
        <w:rPr>
          <w:rFonts w:ascii="Tinos" w:hAnsi="Tinos" w:cs="Tinos"/>
          <w:i/>
          <w:sz w:val="26"/>
          <w:szCs w:val="26"/>
        </w:rPr>
      </w:r>
      <w:r>
        <w:rPr>
          <w:rFonts w:ascii="Tinos" w:hAnsi="Tinos" w:cs="Tinos"/>
          <w:i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состоять из общепринятых знаков и символов, опис</w:t>
      </w:r>
      <w:r>
        <w:rPr>
          <w:rFonts w:ascii="Tinos" w:hAnsi="Tinos" w:eastAsia="Tinos" w:cs="Tinos"/>
          <w:sz w:val="26"/>
          <w:szCs w:val="26"/>
        </w:rPr>
        <w:t xml:space="preserve">ательная часть </w:t>
      </w:r>
      <w:r>
        <w:rPr>
          <w:rFonts w:ascii="Tinos" w:hAnsi="Tinos" w:eastAsia="Tinos" w:cs="Tinos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nos" w:hAnsi="Tinos" w:eastAsia="Tinos" w:cs="Tinos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4.7</w:t>
      </w:r>
      <w:r>
        <w:rPr>
          <w:rFonts w:ascii="Tinos" w:hAnsi="Tinos" w:eastAsia="Tinos" w:cs="Tinos"/>
          <w:sz w:val="26"/>
          <w:szCs w:val="26"/>
        </w:rPr>
        <w:t xml:space="preserve">. </w:t>
      </w:r>
      <w:r>
        <w:rPr>
          <w:rFonts w:ascii="Tinos" w:hAnsi="Tinos" w:eastAsia="Tinos" w:cs="Tinos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nos" w:hAnsi="Tinos" w:eastAsia="Tinos" w:cs="Tinos"/>
          <w:sz w:val="26"/>
          <w:szCs w:val="26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b/>
          <w:sz w:val="26"/>
          <w:szCs w:val="26"/>
        </w:rPr>
      </w:pPr>
      <w:r>
        <w:rPr>
          <w:rFonts w:ascii="Tinos" w:hAnsi="Tinos" w:eastAsia="Tinos" w:cs="Tinos"/>
          <w:b/>
          <w:sz w:val="26"/>
          <w:szCs w:val="26"/>
        </w:rPr>
        <w:t xml:space="preserve">5. Тре</w:t>
      </w:r>
      <w:r>
        <w:rPr>
          <w:rFonts w:ascii="Tinos" w:hAnsi="Tinos" w:eastAsia="Tinos" w:cs="Tinos"/>
          <w:b/>
          <w:sz w:val="26"/>
          <w:szCs w:val="26"/>
        </w:rPr>
        <w:t xml:space="preserve">бования к объему документации, предоставляемой участником закупок для оценки предложения по лоту:</w:t>
      </w:r>
      <w:r>
        <w:rPr>
          <w:rFonts w:ascii="Tinos" w:hAnsi="Tinos" w:cs="Tinos"/>
          <w:b/>
          <w:sz w:val="26"/>
          <w:szCs w:val="26"/>
        </w:rPr>
      </w:r>
      <w:r>
        <w:rPr>
          <w:rFonts w:ascii="Tinos" w:hAnsi="Tinos" w:cs="Tinos"/>
          <w:b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bCs/>
          <w:sz w:val="26"/>
          <w:szCs w:val="26"/>
        </w:rPr>
      </w:pPr>
      <w:r>
        <w:rPr>
          <w:rFonts w:ascii="Tinos" w:hAnsi="Tinos" w:eastAsia="Tinos" w:cs="Tinos"/>
          <w:bCs/>
          <w:sz w:val="26"/>
          <w:szCs w:val="26"/>
        </w:rPr>
        <w:t xml:space="preserve">5.1. Российские сертификаты (декларации/свидетельства) соответствия согласно пункт</w:t>
      </w:r>
      <w:r>
        <w:rPr>
          <w:rFonts w:ascii="Tinos" w:hAnsi="Tinos" w:eastAsia="Tinos" w:cs="Tinos"/>
          <w:bCs/>
          <w:sz w:val="26"/>
          <w:szCs w:val="26"/>
        </w:rPr>
        <w:t xml:space="preserve">у</w:t>
      </w:r>
      <w:r>
        <w:rPr>
          <w:rFonts w:ascii="Tinos" w:hAnsi="Tinos" w:eastAsia="Tinos" w:cs="Tinos"/>
          <w:bCs/>
          <w:sz w:val="26"/>
          <w:szCs w:val="26"/>
        </w:rPr>
        <w:t xml:space="preserve"> 4.5 настоящего ТЗ</w:t>
      </w:r>
      <w:r>
        <w:rPr>
          <w:rFonts w:ascii="Tinos" w:hAnsi="Tinos" w:cs="Tinos"/>
          <w:bCs/>
          <w:sz w:val="26"/>
          <w:szCs w:val="26"/>
        </w:rPr>
      </w:r>
      <w:r>
        <w:rPr>
          <w:rFonts w:ascii="Tinos" w:hAnsi="Tinos" w:cs="Tinos"/>
          <w:bCs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5.2</w:t>
      </w:r>
      <w:r>
        <w:rPr>
          <w:rFonts w:ascii="Tinos" w:hAnsi="Tinos" w:eastAsia="Tinos" w:cs="Tinos"/>
          <w:sz w:val="26"/>
          <w:szCs w:val="26"/>
        </w:rPr>
        <w:t xml:space="preserve">. </w:t>
      </w:r>
      <w:r>
        <w:rPr>
          <w:rFonts w:ascii="Tinos" w:hAnsi="Tinos" w:eastAsia="Tinos" w:cs="Tinos"/>
          <w:sz w:val="26"/>
          <w:szCs w:val="26"/>
        </w:rPr>
        <w:t xml:space="preserve">Письмо от участника закупки с подтверждением срока </w:t>
      </w:r>
      <w:r>
        <w:rPr>
          <w:rFonts w:ascii="Tinos" w:hAnsi="Tinos" w:eastAsia="Tinos" w:cs="Tinos"/>
          <w:sz w:val="26"/>
          <w:szCs w:val="26"/>
        </w:rPr>
        <w:t xml:space="preserve">службы, гарантии и изготовления.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color w:val="000000"/>
          <w:sz w:val="26"/>
          <w:szCs w:val="26"/>
        </w:rPr>
        <w:t xml:space="preserve">5.3</w:t>
      </w:r>
      <w:r>
        <w:rPr>
          <w:rFonts w:ascii="Tinos" w:hAnsi="Tinos" w:eastAsia="Tinos" w:cs="Tinos"/>
          <w:color w:val="000000"/>
          <w:sz w:val="26"/>
          <w:szCs w:val="26"/>
        </w:rPr>
        <w:t xml:space="preserve">. Заполненную таблицу соответствия поставляемой продукции установленным требованиям, указанную в приложении 2 к ТЗ </w:t>
      </w:r>
      <w:r>
        <w:rPr>
          <w:rFonts w:ascii="Tinos" w:hAnsi="Tinos" w:eastAsia="Tinos" w:cs="Tinos"/>
          <w:sz w:val="26"/>
          <w:szCs w:val="26"/>
        </w:rPr>
        <w:t xml:space="preserve">(в таблице участником закупки заполняется графа предлагаемые технические характеристики, изменение и удал</w:t>
      </w:r>
      <w:r>
        <w:rPr>
          <w:rFonts w:ascii="Tinos" w:hAnsi="Tinos" w:eastAsia="Tinos" w:cs="Tinos"/>
          <w:sz w:val="26"/>
          <w:szCs w:val="26"/>
        </w:rPr>
        <w:t xml:space="preserve">ение участником, установленных в приложении 2 требований, не допускается).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Предлагаемые</w:t>
      </w:r>
      <w:r>
        <w:rPr>
          <w:rFonts w:ascii="Tinos" w:hAnsi="Tinos" w:eastAsia="Tinos" w:cs="Tinos"/>
          <w:sz w:val="26"/>
          <w:szCs w:val="26"/>
        </w:rPr>
        <w:t xml:space="preserve"> к поставке материалы, изделия </w:t>
      </w:r>
      <w:r>
        <w:rPr>
          <w:rFonts w:ascii="Tinos" w:hAnsi="Tinos" w:eastAsia="Tinos" w:cs="Tinos"/>
          <w:sz w:val="26"/>
          <w:szCs w:val="26"/>
        </w:rPr>
        <w:t xml:space="preserve">должны соответствовать требованиям приложения 2 к настоящему ТЗ и действую</w:t>
      </w:r>
      <w:r>
        <w:rPr>
          <w:rFonts w:ascii="Tinos" w:hAnsi="Tinos" w:eastAsia="Tinos" w:cs="Tinos"/>
          <w:sz w:val="26"/>
          <w:szCs w:val="26"/>
        </w:rPr>
        <w:t xml:space="preserve">щим в РФ нормативным документам.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В случае полного</w:t>
      </w:r>
      <w:r>
        <w:rPr>
          <w:rFonts w:ascii="Tinos" w:hAnsi="Tinos" w:eastAsia="Tinos" w:cs="Tinos"/>
          <w:sz w:val="26"/>
          <w:szCs w:val="26"/>
        </w:rPr>
        <w:t xml:space="preserve"> соответствия </w:t>
      </w:r>
      <w:r>
        <w:rPr>
          <w:rFonts w:ascii="Tinos" w:hAnsi="Tinos" w:eastAsia="Tinos" w:cs="Tinos"/>
          <w:sz w:val="26"/>
          <w:szCs w:val="26"/>
        </w:rPr>
        <w:t xml:space="preserve">предлагаемо</w:t>
      </w:r>
      <w:r>
        <w:rPr>
          <w:rFonts w:ascii="Tinos" w:hAnsi="Tinos" w:eastAsia="Tinos" w:cs="Tinos"/>
          <w:sz w:val="26"/>
          <w:szCs w:val="26"/>
        </w:rPr>
        <w:t xml:space="preserve">й </w:t>
      </w:r>
      <w:r>
        <w:rPr>
          <w:rFonts w:ascii="Tinos" w:hAnsi="Tinos" w:eastAsia="Tinos" w:cs="Tinos"/>
          <w:sz w:val="26"/>
          <w:szCs w:val="26"/>
        </w:rPr>
        <w:t xml:space="preserve">продукции </w:t>
      </w:r>
      <w:r>
        <w:rPr>
          <w:rFonts w:ascii="Tinos" w:hAnsi="Tinos" w:eastAsia="Tinos" w:cs="Tinos"/>
          <w:sz w:val="26"/>
          <w:szCs w:val="26"/>
        </w:rPr>
        <w:t xml:space="preserve"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i/>
          <w:color w:val="000000"/>
          <w:sz w:val="26"/>
          <w:szCs w:val="26"/>
        </w:rPr>
      </w:pPr>
      <w:r>
        <w:rPr>
          <w:rFonts w:ascii="Tinos" w:hAnsi="Tinos" w:eastAsia="Tinos" w:cs="Tinos"/>
          <w:color w:val="000000"/>
          <w:sz w:val="26"/>
          <w:szCs w:val="26"/>
        </w:rPr>
        <w:t xml:space="preserve">Предлагаемые участником варианты технических параметров и характеристик оборудования и матери</w:t>
      </w:r>
      <w:r>
        <w:rPr>
          <w:rFonts w:ascii="Tinos" w:hAnsi="Tinos" w:eastAsia="Tinos" w:cs="Tinos"/>
          <w:color w:val="000000"/>
          <w:sz w:val="26"/>
          <w:szCs w:val="26"/>
        </w:rPr>
        <w:t xml:space="preserve">алов не указанные в ТЗ, согласовываются дополнительно.</w:t>
      </w:r>
      <w:r>
        <w:rPr>
          <w:rFonts w:ascii="Tinos" w:hAnsi="Tinos" w:cs="Tinos"/>
          <w:i/>
          <w:color w:val="000000"/>
          <w:sz w:val="26"/>
          <w:szCs w:val="26"/>
        </w:rPr>
      </w:r>
      <w:r>
        <w:rPr>
          <w:rFonts w:ascii="Tinos" w:hAnsi="Tinos" w:cs="Tinos"/>
          <w:i/>
          <w:color w:val="000000"/>
          <w:sz w:val="26"/>
          <w:szCs w:val="26"/>
        </w:rPr>
      </w:r>
    </w:p>
    <w:p>
      <w:pPr>
        <w:pStyle w:val="898"/>
        <w:ind w:firstLine="709"/>
        <w:jc w:val="both"/>
        <w:tabs>
          <w:tab w:val="left" w:pos="0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5.4</w:t>
      </w:r>
      <w:r>
        <w:rPr>
          <w:rFonts w:ascii="Tinos" w:hAnsi="Tinos" w:eastAsia="Tinos" w:cs="Tinos"/>
          <w:sz w:val="26"/>
          <w:szCs w:val="26"/>
        </w:rPr>
        <w:t xml:space="preserve">.</w:t>
        <w:tab/>
        <w:t xml:space="preserve">Предлагаемые к поставке материалы должны соответствовать требованиям приложения № 2 к настоящему ТЗ.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b/>
          <w:sz w:val="26"/>
          <w:szCs w:val="26"/>
        </w:rPr>
      </w:pPr>
      <w:r>
        <w:rPr>
          <w:rFonts w:ascii="Tinos" w:hAnsi="Tinos" w:eastAsia="Tinos" w:cs="Tinos"/>
          <w:b/>
          <w:sz w:val="26"/>
          <w:szCs w:val="26"/>
        </w:rPr>
        <w:t xml:space="preserve">6. Гарантийные обязательства. </w:t>
      </w:r>
      <w:r>
        <w:rPr>
          <w:rFonts w:ascii="Tinos" w:hAnsi="Tinos" w:cs="Tinos"/>
          <w:b/>
          <w:sz w:val="26"/>
          <w:szCs w:val="26"/>
        </w:rPr>
      </w:r>
      <w:r>
        <w:rPr>
          <w:rFonts w:ascii="Tinos" w:hAnsi="Tinos" w:cs="Tinos"/>
          <w:b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6.1. </w:t>
      </w:r>
      <w:r>
        <w:rPr>
          <w:rFonts w:ascii="Tinos" w:hAnsi="Tinos" w:eastAsia="Tinos" w:cs="Tinos"/>
          <w:sz w:val="26"/>
          <w:szCs w:val="26"/>
        </w:rPr>
        <w:t xml:space="preserve">Срок гарантии на поставляемые материалы должен быть не мен</w:t>
      </w:r>
      <w:r>
        <w:rPr>
          <w:rFonts w:ascii="Tinos" w:hAnsi="Tinos" w:eastAsia="Tinos" w:cs="Tinos"/>
          <w:sz w:val="26"/>
          <w:szCs w:val="26"/>
        </w:rPr>
        <w:t xml:space="preserve">ее 1 года. Время начала исчисления гарантийного срока – с момента поставки продукции на склад Заказчика.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6.2. </w:t>
      </w:r>
      <w:r>
        <w:rPr>
          <w:rFonts w:ascii="Tinos" w:hAnsi="Tinos" w:eastAsia="Tinos" w:cs="Tinos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</w:t>
      </w:r>
      <w:r>
        <w:rPr>
          <w:rFonts w:ascii="Tinos" w:hAnsi="Tinos" w:eastAsia="Tinos" w:cs="Tinos"/>
          <w:sz w:val="26"/>
          <w:szCs w:val="26"/>
        </w:rPr>
        <w:t xml:space="preserve">ого срока. Гарантийный срок в этом случае продлевается соответственно</w:t>
      </w:r>
      <w:r>
        <w:rPr>
          <w:rFonts w:ascii="Tinos" w:hAnsi="Tinos" w:eastAsia="Tinos" w:cs="Tinos"/>
          <w:sz w:val="26"/>
          <w:szCs w:val="26"/>
        </w:rPr>
        <w:t xml:space="preserve"> на период устранения дефектов (п</w:t>
      </w:r>
      <w:r>
        <w:rPr>
          <w:rFonts w:ascii="Tinos" w:hAnsi="Tinos" w:eastAsia="Tinos" w:cs="Tinos"/>
          <w:sz w:val="26"/>
          <w:szCs w:val="26"/>
        </w:rPr>
        <w:t xml:space="preserve">оставщик гарантирует, что характеристики поставляемого товара, соответствуют характеристикам, установленным в ТЗ, в том числе характеристикам, определяемы</w:t>
      </w:r>
      <w:r>
        <w:rPr>
          <w:rFonts w:ascii="Tinos" w:hAnsi="Tinos" w:eastAsia="Tinos" w:cs="Tinos"/>
          <w:sz w:val="26"/>
          <w:szCs w:val="26"/>
        </w:rPr>
        <w:t xml:space="preserve">м, как методом визуального осмотра (видимым характеристикам), так и лабораторными методами (скрытым характеристикам). По требованию Заказчика Поставщик обязан в течение 3 (трех) рабочих дней представить Заказчику заверенные подписью руководителя или упо</w:t>
      </w:r>
      <w:r>
        <w:rPr>
          <w:rFonts w:ascii="Tinos" w:hAnsi="Tinos" w:eastAsia="Tinos" w:cs="Tinos"/>
          <w:sz w:val="26"/>
          <w:szCs w:val="26"/>
        </w:rPr>
        <w:t xml:space="preserve">лно</w:t>
      </w:r>
      <w:r>
        <w:rPr>
          <w:rFonts w:ascii="Tinos" w:hAnsi="Tinos" w:eastAsia="Tinos" w:cs="Tinos"/>
          <w:sz w:val="26"/>
          <w:szCs w:val="26"/>
        </w:rPr>
        <w:t xml:space="preserve">моч</w:t>
      </w:r>
      <w:r>
        <w:rPr>
          <w:rFonts w:ascii="Tinos" w:hAnsi="Tinos" w:eastAsia="Tinos" w:cs="Tinos"/>
          <w:sz w:val="26"/>
          <w:szCs w:val="26"/>
        </w:rPr>
        <w:t xml:space="preserve">енного представителя Поставщика документы, подтверждающие соответствие скрытых характеристик поставляемого товара характеристикам товара.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Заказчик вправе провести соответствующую товарную экспертизу на предмет выявления соответствия скрытых характери</w:t>
      </w:r>
      <w:r>
        <w:rPr>
          <w:rFonts w:ascii="Tinos" w:hAnsi="Tinos" w:eastAsia="Tinos" w:cs="Tinos"/>
          <w:sz w:val="26"/>
          <w:szCs w:val="26"/>
        </w:rPr>
        <w:t xml:space="preserve">сти</w:t>
      </w:r>
      <w:r>
        <w:rPr>
          <w:rFonts w:ascii="Tinos" w:hAnsi="Tinos" w:eastAsia="Tinos" w:cs="Tinos"/>
          <w:sz w:val="26"/>
          <w:szCs w:val="26"/>
        </w:rPr>
        <w:t xml:space="preserve">к к</w:t>
      </w:r>
      <w:r>
        <w:rPr>
          <w:rFonts w:ascii="Tinos" w:hAnsi="Tinos" w:eastAsia="Tinos" w:cs="Tinos"/>
          <w:sz w:val="26"/>
          <w:szCs w:val="26"/>
        </w:rPr>
        <w:t xml:space="preserve">онтрольных образцов, характеристикам товара, установленным в ТЗ. В случае выявления несоответствий по скрытым характеристикам расходы по проведенной экспертизе будет нести Поставщик</w:t>
      </w:r>
      <w:r>
        <w:rPr>
          <w:rFonts w:ascii="Tinos" w:hAnsi="Tinos" w:eastAsia="Tinos" w:cs="Tinos"/>
          <w:sz w:val="26"/>
          <w:szCs w:val="26"/>
        </w:rPr>
        <w:t xml:space="preserve">).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568"/>
        <w:jc w:val="both"/>
        <w:tabs>
          <w:tab w:val="left" w:pos="0" w:leader="none"/>
        </w:tabs>
        <w:rPr>
          <w:rFonts w:ascii="Tinos" w:hAnsi="Tinos" w:cs="Tinos"/>
          <w:sz w:val="26"/>
          <w:szCs w:val="26"/>
          <w:highlight w:val="yellow"/>
        </w:rPr>
      </w:pPr>
      <w:r>
        <w:rPr>
          <w:rFonts w:ascii="Tinos" w:hAnsi="Tinos" w:eastAsia="Tinos" w:cs="Tinos"/>
          <w:sz w:val="26"/>
          <w:szCs w:val="26"/>
          <w:highlight w:val="yellow"/>
        </w:rPr>
      </w:r>
      <w:r>
        <w:rPr>
          <w:rFonts w:ascii="Tinos" w:hAnsi="Tinos" w:cs="Tinos"/>
          <w:sz w:val="26"/>
          <w:szCs w:val="26"/>
          <w:highlight w:val="yellow"/>
        </w:rPr>
      </w:r>
      <w:r>
        <w:rPr>
          <w:rFonts w:ascii="Tinos" w:hAnsi="Tinos" w:cs="Tinos"/>
          <w:sz w:val="26"/>
          <w:szCs w:val="26"/>
          <w:highlight w:val="yellow"/>
        </w:rPr>
      </w:r>
    </w:p>
    <w:p>
      <w:pPr>
        <w:pStyle w:val="898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7</w:t>
      </w:r>
      <w:r>
        <w:rPr>
          <w:rFonts w:ascii="Tinos" w:hAnsi="Tinos" w:eastAsia="Tinos" w:cs="Tinos"/>
          <w:b/>
          <w:bCs/>
          <w:sz w:val="26"/>
          <w:szCs w:val="26"/>
        </w:rPr>
        <w:t xml:space="preserve">. Правила приемки продукции.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Вся поставляемая продукция </w:t>
      </w:r>
      <w:r>
        <w:rPr>
          <w:rFonts w:ascii="Tinos" w:hAnsi="Tinos" w:eastAsia="Tinos" w:cs="Tinos"/>
          <w:sz w:val="26"/>
          <w:szCs w:val="26"/>
        </w:rPr>
        <w:t xml:space="preserve">проходи</w:t>
      </w:r>
      <w:r>
        <w:rPr>
          <w:rFonts w:ascii="Tinos" w:hAnsi="Tinos" w:eastAsia="Tinos" w:cs="Tinos"/>
          <w:sz w:val="26"/>
          <w:szCs w:val="26"/>
        </w:rPr>
        <w:t xml:space="preserve">т в</w:t>
      </w:r>
      <w:r>
        <w:rPr>
          <w:rFonts w:ascii="Tinos" w:hAnsi="Tinos" w:eastAsia="Tinos" w:cs="Tinos"/>
          <w:sz w:val="26"/>
          <w:szCs w:val="26"/>
        </w:rPr>
        <w:t xml:space="preserve">ход</w:t>
      </w:r>
      <w:r>
        <w:rPr>
          <w:rFonts w:ascii="Tinos" w:hAnsi="Tinos" w:eastAsia="Tinos" w:cs="Tinos"/>
          <w:sz w:val="26"/>
          <w:szCs w:val="26"/>
        </w:rPr>
        <w:t xml:space="preserve">ной контроль, осуществляемый представителями </w:t>
      </w:r>
      <w:r>
        <w:rPr>
          <w:rFonts w:ascii="Tinos" w:hAnsi="Tinos" w:eastAsia="Tinos" w:cs="Tinos"/>
          <w:sz w:val="26"/>
          <w:szCs w:val="26"/>
        </w:rPr>
        <w:t xml:space="preserve">АО «Россети Сибирь Тываэнерго»</w:t>
      </w:r>
      <w:r>
        <w:rPr>
          <w:rFonts w:ascii="Tinos" w:hAnsi="Tinos" w:eastAsia="Tinos" w:cs="Tinos"/>
          <w:sz w:val="26"/>
          <w:szCs w:val="26"/>
        </w:rPr>
        <w:t xml:space="preserve"> при</w:t>
      </w:r>
      <w:r>
        <w:rPr>
          <w:rFonts w:ascii="Tinos" w:hAnsi="Tinos" w:eastAsia="Tinos" w:cs="Tinos"/>
          <w:sz w:val="26"/>
          <w:szCs w:val="26"/>
        </w:rPr>
        <w:t xml:space="preserve"> получении на склад.</w:t>
      </w: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Приемка продукции по качеству производится в соответствии </w:t>
      </w:r>
      <w:r>
        <w:rPr>
          <w:rFonts w:ascii="Tinos" w:hAnsi="Tinos" w:eastAsia="Tinos" w:cs="Tinos"/>
          <w:sz w:val="26"/>
          <w:szCs w:val="26"/>
        </w:rPr>
        <w:t xml:space="preserve">законодательством Российской Федерации (ст.513 ГК РФ) и условиям Договора.</w:t>
      </w: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Приемка продукции</w:t>
      </w:r>
      <w:r>
        <w:rPr>
          <w:rFonts w:ascii="Tinos" w:hAnsi="Tinos" w:eastAsia="Tinos" w:cs="Tinos"/>
          <w:sz w:val="26"/>
          <w:szCs w:val="26"/>
        </w:rPr>
        <w:t xml:space="preserve"> по</w:t>
      </w:r>
      <w:r>
        <w:rPr>
          <w:rFonts w:ascii="Tinos" w:hAnsi="Tinos" w:eastAsia="Tinos" w:cs="Tinos"/>
          <w:sz w:val="26"/>
          <w:szCs w:val="26"/>
        </w:rPr>
        <w:t xml:space="preserve"> ко</w:t>
      </w:r>
      <w:r>
        <w:rPr>
          <w:rFonts w:ascii="Tinos" w:hAnsi="Tinos" w:eastAsia="Tinos" w:cs="Tinos"/>
          <w:sz w:val="26"/>
          <w:szCs w:val="26"/>
        </w:rPr>
        <w:t xml:space="preserve">личеству производится в соответствии </w:t>
      </w:r>
      <w:r>
        <w:rPr>
          <w:rFonts w:ascii="Tinos" w:hAnsi="Tinos" w:eastAsia="Tinos" w:cs="Tinos"/>
          <w:sz w:val="26"/>
          <w:szCs w:val="26"/>
        </w:rPr>
        <w:t xml:space="preserve">законодательством Российской Федерации (ст.513 ГК РФ) и условиям Договора.</w:t>
      </w: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При приемке продукции осуществляется: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внешний осмотр тары и упаковки: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проверку соответствия количества отгруженных и поступивших пос</w:t>
      </w:r>
      <w:r>
        <w:rPr>
          <w:rFonts w:ascii="Tinos" w:hAnsi="Tinos" w:eastAsia="Tinos" w:cs="Tinos"/>
          <w:sz w:val="26"/>
          <w:szCs w:val="26"/>
        </w:rPr>
        <w:t xml:space="preserve">тав</w:t>
      </w:r>
      <w:r>
        <w:rPr>
          <w:rFonts w:ascii="Tinos" w:hAnsi="Tinos" w:eastAsia="Tinos" w:cs="Tinos"/>
          <w:sz w:val="26"/>
          <w:szCs w:val="26"/>
        </w:rPr>
        <w:t xml:space="preserve">очн</w:t>
      </w:r>
      <w:r>
        <w:rPr>
          <w:rFonts w:ascii="Tinos" w:hAnsi="Tinos" w:eastAsia="Tinos" w:cs="Tinos"/>
          <w:sz w:val="26"/>
          <w:szCs w:val="26"/>
        </w:rPr>
        <w:t xml:space="preserve">ых мест;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nos" w:hAnsi="Tinos" w:eastAsia="Tinos" w:cs="Tinos"/>
          <w:sz w:val="26"/>
          <w:szCs w:val="26"/>
        </w:rPr>
        <w:t xml:space="preserve">;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b/>
          <w:bCs/>
          <w:sz w:val="26"/>
          <w:szCs w:val="26"/>
        </w:rPr>
        <w:t xml:space="preserve"> 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</w:t>
      </w:r>
      <w:r>
        <w:rPr>
          <w:rFonts w:ascii="Tinos" w:hAnsi="Tinos" w:eastAsia="Tinos" w:cs="Tinos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</w:t>
      </w:r>
      <w:r>
        <w:rPr>
          <w:rFonts w:ascii="Tinos" w:hAnsi="Tinos" w:eastAsia="Tinos" w:cs="Tinos"/>
          <w:sz w:val="26"/>
          <w:szCs w:val="26"/>
        </w:rPr>
        <w:t xml:space="preserve">едъявл</w:t>
      </w:r>
      <w:r>
        <w:rPr>
          <w:rFonts w:ascii="Tinos" w:hAnsi="Tinos" w:eastAsia="Tinos" w:cs="Tinos"/>
          <w:sz w:val="26"/>
          <w:szCs w:val="26"/>
        </w:rPr>
        <w:t xml:space="preserve">яемой на контроль, установленным требованиям;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</w:t>
      </w:r>
      <w:r>
        <w:rPr>
          <w:rFonts w:ascii="Tinos" w:hAnsi="Tinos" w:eastAsia="Tinos" w:cs="Tinos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9"/>
        <w:jc w:val="both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</w:t>
      </w:r>
      <w:r>
        <w:rPr>
          <w:rFonts w:ascii="Tinos" w:hAnsi="Tinos" w:eastAsia="Tinos" w:cs="Tinos"/>
          <w:sz w:val="26"/>
          <w:szCs w:val="26"/>
        </w:rPr>
        <w:t xml:space="preserve">контроль соответствия качества и комплектности материалов т</w:t>
      </w:r>
      <w:r>
        <w:rPr>
          <w:rFonts w:ascii="Tinos" w:hAnsi="Tinos" w:eastAsia="Tinos" w:cs="Tinos"/>
          <w:sz w:val="26"/>
          <w:szCs w:val="26"/>
        </w:rPr>
        <w:t xml:space="preserve">ребованиям проектной, конструкторской документации и договоров на поставку</w:t>
      </w:r>
      <w:r>
        <w:rPr>
          <w:rFonts w:ascii="Tinos" w:hAnsi="Tinos" w:eastAsia="Tinos" w:cs="Tinos"/>
          <w:sz w:val="26"/>
          <w:szCs w:val="26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898"/>
        <w:ind w:firstLine="708"/>
        <w:jc w:val="both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60"/>
        <w:gridCol w:w="881"/>
        <w:gridCol w:w="4833"/>
        <w:gridCol w:w="1276"/>
        <w:gridCol w:w="1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898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№ п/п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898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Дата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center"/>
            <w:textDirection w:val="lrTb"/>
            <w:noWrap w:val="false"/>
          </w:tcPr>
          <w:p>
            <w:pPr>
              <w:pStyle w:val="898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Должность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898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Подпись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898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ФИО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898"/>
              <w:jc w:val="center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1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898"/>
              <w:jc w:val="center"/>
              <w:spacing w:before="100" w:beforeAutospacing="1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top"/>
            <w:textDirection w:val="lrTb"/>
            <w:noWrap w:val="false"/>
          </w:tcPr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Заместитель главного инженера – начальник УПБиПК ПА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О «Россети Сибирь»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Е.А. Вельман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898"/>
              <w:jc w:val="center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2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898"/>
              <w:jc w:val="center"/>
              <w:spacing w:before="100" w:beforeAutospacing="1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top"/>
            <w:textDirection w:val="lrTb"/>
            <w:noWrap w:val="false"/>
          </w:tcPr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Заместитель главного инженера – начальник СПБиПК АО «Россети Сибирь Тываэнерго»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Н.Н. Кудрявцев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898"/>
              <w:jc w:val="center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3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898"/>
              <w:jc w:val="center"/>
              <w:spacing w:before="100" w:beforeAutospacing="1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top"/>
            <w:textDirection w:val="lrTb"/>
            <w:noWrap w:val="false"/>
          </w:tcPr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Начальник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ОЛиМТО 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898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В.В. Власов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</w:tbl>
    <w:p>
      <w:pPr>
        <w:pStyle w:val="951"/>
        <w:jc w:val="both"/>
        <w:rPr>
          <w:rFonts w:ascii="Times New Roman" w:hAnsi="Times New Roman"/>
          <w:sz w:val="26"/>
          <w:szCs w:val="26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418" w:right="709" w:bottom="1418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98"/>
        <w:ind w:left="11766"/>
        <w:rPr>
          <w:sz w:val="26"/>
          <w:szCs w:val="26"/>
        </w:rPr>
      </w:pPr>
      <w:r>
        <w:rPr>
          <w:sz w:val="26"/>
          <w:szCs w:val="26"/>
        </w:rPr>
        <w:t xml:space="preserve">Приложение № 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98"/>
        <w:ind w:left="11766"/>
        <w:rPr>
          <w:sz w:val="26"/>
          <w:szCs w:val="26"/>
        </w:rPr>
      </w:pPr>
      <w:r>
        <w:rPr>
          <w:sz w:val="26"/>
          <w:szCs w:val="26"/>
        </w:rPr>
        <w:t xml:space="preserve">к техническому заданию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98"/>
        <w:ind w:left="1176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98"/>
        <w:ind w:firstLine="85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Технические хар</w:t>
      </w:r>
      <w:r>
        <w:rPr>
          <w:sz w:val="26"/>
          <w:szCs w:val="26"/>
        </w:rPr>
        <w:t xml:space="preserve">актеристики и требования на спецобувь.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467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8"/>
        <w:gridCol w:w="2545"/>
        <w:gridCol w:w="2318"/>
        <w:gridCol w:w="4679"/>
        <w:gridCol w:w="51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161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41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66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ГОСТ, ТУ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46" w:type="pct"/>
            <w:vAlign w:val="center"/>
            <w:textDirection w:val="lrTb"/>
            <w:noWrap w:val="false"/>
          </w:tcPr>
          <w:p>
            <w:pPr>
              <w:pStyle w:val="898"/>
              <w:ind w:firstLine="42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Технические характеристики требуемое значение параметра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686" w:type="pct"/>
            <w:vAlign w:val="center"/>
            <w:textDirection w:val="lrTb"/>
            <w:noWrap w:val="false"/>
          </w:tcPr>
          <w:p>
            <w:pPr>
              <w:pStyle w:val="898"/>
              <w:ind w:firstLine="42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161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41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66" w:type="pct"/>
            <w:vAlign w:val="top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46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86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1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41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Ботинки кожаные с защитным подн</w:t>
            </w:r>
            <w:r>
              <w:rPr>
                <w:sz w:val="20"/>
                <w:szCs w:val="20"/>
              </w:rPr>
              <w:t xml:space="preserve">оском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66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28507-99,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12.4.137-2001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12.4.187-97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46" w:type="pct"/>
            <w:vAlign w:val="top"/>
            <w:textDirection w:val="lrTb"/>
            <w:noWrap w:val="false"/>
          </w:tcPr>
          <w:p>
            <w:pPr>
              <w:pStyle w:val="898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 –кожа натуральная толщиной 1,8-2.0 мм, с защитным подноском из композитного материала (МУН 200 Дж), с устройством клапан-языка. Подкладка –спилок подкладочный, материал трикотажный объемный. П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одошва двухслойная полиуретан, метод крепления –литьевой. Защита –нефтепродуктов, механических воздействий и ОПЗ. Высота не менее 16 см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86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61" w:type="pct"/>
            <w:vAlign w:val="center"/>
            <w:vMerge w:val="restart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41" w:type="pct"/>
            <w:vAlign w:val="top"/>
            <w:vMerge w:val="restart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Сапоги кожаные с защитным подноском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66" w:type="pct"/>
            <w:vAlign w:val="top"/>
            <w:vMerge w:val="restart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28507-99,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12.4.137-2001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12.4.187-97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46" w:type="pct"/>
            <w:vAlign w:val="top"/>
            <w:vMerge w:val="restart"/>
            <w:textDirection w:val="lrTb"/>
            <w:noWrap w:val="false"/>
          </w:tcPr>
          <w:p>
            <w:pPr>
              <w:pStyle w:val="898"/>
              <w:rPr>
                <w:rFonts w:ascii="Tinos" w:hAnsi="Tinos" w:cs="Tinos"/>
                <w:sz w:val="20"/>
                <w:szCs w:val="20"/>
                <w:highlight w:val="white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 –кожа натуральная толщиной 1,8-2.0 мм, с защитным подноском из композитного материала (МУН 200 Дж), с устройством клапан-языка. Подкладка –спилок подкладочный, материал трикотажный объемный. П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одошва двухслойная полиуретан, метод крепления –литьевой. Защита –нефтепродуктов, механических воздействий и ОПЗ. 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Высота не менее 29-30 см. 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Ширина голенища фиксируется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 по обхвату голени за счет д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войного ремня.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</w:r>
            <w:r>
              <w:rPr>
                <w:rFonts w:ascii="Tinos" w:hAnsi="Tinos" w:cs="Tinos"/>
                <w:sz w:val="20"/>
                <w:szCs w:val="20"/>
                <w:highlight w:val="white"/>
              </w:rPr>
            </w:r>
          </w:p>
        </w:tc>
        <w:tc>
          <w:tcPr>
            <w:tcW w:w="1686" w:type="pct"/>
            <w:vAlign w:val="top"/>
            <w:vMerge w:val="restart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61" w:type="pct"/>
            <w:vAlign w:val="center"/>
            <w:vMerge w:val="restart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41" w:type="pct"/>
            <w:vAlign w:val="top"/>
            <w:vMerge w:val="restart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Ботинки кожаные утепленные с защитным подноском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66" w:type="pct"/>
            <w:vAlign w:val="top"/>
            <w:vMerge w:val="restart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28507-99,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12.4.137-2001, ГОСТ Р 12.4.187-97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3977-88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46" w:type="pct"/>
            <w:vAlign w:val="top"/>
            <w:vMerge w:val="restart"/>
            <w:textDirection w:val="lrTb"/>
            <w:noWrap w:val="false"/>
          </w:tcPr>
          <w:p>
            <w:pPr>
              <w:pStyle w:val="898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В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ерх 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из кожи (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т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ермостойкая юфть из шкур КРС- толщиной 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2.0м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м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), на термостойкой (контакт с нагретыми поверхностями до +160°С в течение 30 мин., +300°С в течение 60 сек), маслобензостойкой, кислотощ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ёлочестойкой двухслойной подошве из полиуретана и резины 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литье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вого метода крепления для защиты от общих производственных загрязнений и механических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воздействий (с внутренним термопластичным подноском ударной прочностью 5Дж или с внутренним защитным компози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тным подноском из поликарбоната ударной прочностью 200 Дж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, с п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роколозащитной неметаллической стелькой 1200 Н и без нее); от скольжения; от химических факторов (нефти, нефтепродуктов, в том числе от кислот и щелочей концентрацией до 20%)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 У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тепленная натуральным 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шер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стяным мехом 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 для эксплуатации в кли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матических регионах (поясах) III (II), II (III), IБ (IV) и IA («Особом»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 прописано в сер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тиф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икате 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каче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ства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nos" w:hAnsi="Tinos" w:eastAsia="Tinos" w:cs="Tinos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Высота не менее 16 см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686" w:type="pct"/>
            <w:vAlign w:val="top"/>
            <w:vMerge w:val="restart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95"/>
        </w:trPr>
        <w:tc>
          <w:tcPr>
            <w:tcW w:w="161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41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Сапоги кожаные утепленные с защитным подноском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66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28507-99,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12.4.137-2001, ГОСТ Р 12.4.187-97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3977-88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46" w:type="pct"/>
            <w:vAlign w:val="top"/>
            <w:textDirection w:val="lrTb"/>
            <w:noWrap w:val="false"/>
          </w:tcPr>
          <w:p>
            <w:pPr>
              <w:pStyle w:val="936"/>
              <w:contextualSpacing/>
              <w:spacing w:before="0" w:beforeAutospacing="0" w:after="300" w:afterAutospacing="0" w:line="240" w:lineRule="auto"/>
              <w:shd w:val="clear" w:color="auto" w:fill="ffffff"/>
              <w:rPr>
                <w:rFonts w:ascii="Tinos" w:hAnsi="Tinos" w:cs="Tinos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В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ерх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из кожи (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ермостойкая юфть из шкур КРС- толщиной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2.0м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м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), на термостойкой (контакт с нагретыми поверхностями до +160°С в течение 30 мин., +300°С в течение 60 сек), маслобензостойкой, кислотощ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ёлочестойкой двухслойной подошве из полиуретана и резины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литье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вого метода крепления для защиты от общих производственных загрязнений и механических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воздействий (с внутренним термопластичным подноском ударной прочностью 5Дж или с внутренним защитным компози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тным подноском из поликарбоната ударной прочностью 200 Дж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, с п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роколозащитной неметаллической стелькой 1200 Н и без нее); от скольжения; от химических факторов (нефти, нефтепродуктов, в том числе от кислот и щелочей концентрацией до 20%)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У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тепленная натуральным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шер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стяным мехом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для эксплуатации в кли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матических регионах (поясах) III (II), II (III), IБ (IV) и IA («Особом»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прописано в сер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тиф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икате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каче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ства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Ширина голенища фиксируется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по обхвату голени за счет д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войного ремня.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Высота не менее 29-30 см.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nos" w:hAnsi="Tinos" w:cs="Tinos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686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69"/>
        </w:trPr>
        <w:tc>
          <w:tcPr>
            <w:tcW w:w="161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41" w:type="pct"/>
            <w:vAlign w:val="top"/>
            <w:textDirection w:val="lrTb"/>
            <w:noWrap w:val="false"/>
          </w:tcPr>
          <w:p>
            <w:pPr>
              <w:pStyle w:val="954"/>
              <w:jc w:val="left"/>
            </w:pPr>
            <w:r>
              <w:t xml:space="preserve">Ботинки кожаные с защитным подноском для з</w:t>
            </w:r>
            <w:r>
              <w:t xml:space="preserve">а</w:t>
            </w:r>
            <w:r>
              <w:t xml:space="preserve">щиты от повышенных температур, искр и брызг расплавленного металла.</w:t>
            </w:r>
            <w:r/>
          </w:p>
        </w:tc>
        <w:tc>
          <w:tcPr>
            <w:tcW w:w="766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28507-99,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12.4.137-2001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</w:pPr>
            <w:r>
              <w:rPr>
                <w:sz w:val="20"/>
                <w:szCs w:val="20"/>
              </w:rPr>
              <w:t xml:space="preserve">ГОСТ Р 12.4.187-97</w:t>
            </w:r>
            <w:r/>
          </w:p>
        </w:tc>
        <w:tc>
          <w:tcPr>
            <w:tcW w:w="1546" w:type="pct"/>
            <w:vAlign w:val="top"/>
            <w:textDirection w:val="lrTb"/>
            <w:noWrap w:val="false"/>
          </w:tcPr>
          <w:p>
            <w:pPr>
              <w:pStyle w:val="936"/>
              <w:contextualSpacing/>
              <w:spacing w:before="0" w:beforeAutospacing="0" w:after="300" w:afterAutospacing="1" w:line="240" w:lineRule="auto"/>
              <w:shd w:val="clear" w:color="auto" w:fill="ffffff"/>
              <w:rPr>
                <w:rFonts w:ascii="Tinos" w:hAnsi="Tinos" w:cs="Tinos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Верх –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из кожи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(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ермостойкая юфть из шкур КРС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- толщиной 1.8 -2.0м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м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,на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ермостойкой (контакт с нагретыми поверхностями до +160°С в течение 30 мин., +300°С в течение 60 сек), маслобензостойкой, кислотощёлочестойкой, антивибрационной однослойной подошве из резины литьевого мет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ода крепления с последующе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й вулканизацией, в том числ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е с антистатиче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скими свойствами, для защиты от общих производственных загрязнений и механических воздействий (с внутренним защитным композитным подноском ударной прочностью 200 Дж, в том числе с проколоз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ащитной неметаллической ст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елькой 1200 Н и без нее); о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 скольжения; от химических факторов (нефти, нефтепродуктов, в том числе от кислот и щелочей концентрацией до 20%); в том числе от повышенных температур, искр и брызг расплавленного металла; в том числе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для защиты от термических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рисков электрической дуги,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применяемые в к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омплекте СИЗ для защиты от термических рисков электрической дуги.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nos" w:hAnsi="Tinos" w:cs="Tinos"/>
                <w:color w:val="auto"/>
                <w:sz w:val="20"/>
                <w:szCs w:val="20"/>
                <w:highlight w:val="white"/>
              </w:rPr>
            </w:r>
          </w:p>
          <w:p>
            <w:pPr>
              <w:pStyle w:val="936"/>
              <w:contextualSpacing/>
              <w:spacing w:before="0" w:beforeAutospacing="0" w:after="300" w:afterAutospacing="1" w:line="240" w:lineRule="auto"/>
              <w:shd w:val="clear" w:color="auto" w:fill="ffffff"/>
              <w:rPr>
                <w:rFonts w:ascii="Tinos" w:hAnsi="Tinos" w:cs="Tinos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Глухой клапан обеспечивает герметичность и водонепроницаемость ботинок, мягкий кант защищает щиколотку от боковых у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даров 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и вывихов.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 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nos" w:hAnsi="Tinos" w:cs="Tinos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686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8"/>
        </w:trPr>
        <w:tc>
          <w:tcPr>
            <w:tcW w:w="161" w:type="pct"/>
            <w:vAlign w:val="center"/>
            <w:textDirection w:val="lrTb"/>
            <w:noWrap w:val="false"/>
          </w:tcPr>
          <w:p>
            <w:pPr>
              <w:pStyle w:val="89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41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Сапоги </w:t>
            </w:r>
            <w:r>
              <w:rPr>
                <w:sz w:val="20"/>
                <w:szCs w:val="20"/>
              </w:rPr>
              <w:t xml:space="preserve">кожаные утепленные с защитн</w:t>
            </w:r>
            <w:r>
              <w:rPr>
                <w:sz w:val="20"/>
                <w:szCs w:val="20"/>
              </w:rPr>
              <w:t xml:space="preserve">ым подноском д</w:t>
            </w:r>
            <w:r>
              <w:rPr>
                <w:sz w:val="20"/>
                <w:szCs w:val="20"/>
              </w:rPr>
              <w:t xml:space="preserve">ля защиты от повышенных температур, искр и брызг расплавленного металла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66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28507-99,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12.4.137-2001, ГОСТ Р 12.4.187-97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46" w:type="pct"/>
            <w:vAlign w:val="top"/>
            <w:textDirection w:val="lrTb"/>
            <w:noWrap w:val="false"/>
          </w:tcPr>
          <w:p>
            <w:pPr>
              <w:pStyle w:val="898"/>
              <w:contextualSpacing/>
              <w:spacing w:after="300" w:line="240" w:lineRule="auto"/>
              <w:shd w:val="clear" w:color="auto" w:fill="ffffff"/>
              <w:rPr>
                <w:rFonts w:ascii="Tinos" w:hAnsi="Tinos" w:cs="Tinos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Верх –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из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кожи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(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ермостойкая юфть из шкур КРС- толщиной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2.0м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м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), на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термостойкой (контакт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с нагретыми поверхнос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тями до +160°С в течение 30 мин., +300°С в течение 60 сек), маслобензостойкой, кислотощёлочестойкой, антивибрационной однослойной подошве из резины литьевого метода крепления с по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следующей вулканизацией, в том числе с антистатическими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свойствами, для защит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ы от общих производственных загрязнений и механических воздействий (с внутренним защитным композитным подноском ударной прочностью 200 Дж, в том числе с проколозащитной неметаллич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еской стелькой 1200 Н и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без нее); от скольжения; от хим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ических факторов (нефт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и, нефтепродуктов, в том числе от кислот и щелочей концентрацией до 20%); в том числе от повышенных температур, искр и брызг расплавленного металла; в том числе для защиты от терм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ических рисков электрической дуги, применяемые в компле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кте СИЗ для защиты от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термических рисков электрической дуги.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У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тепленная натуральным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шерстяным мехом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для эксплуатации в кли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матических регионах (поясах) III (II), II (III), IБ (IV) и IA («Особом»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)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прописан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о в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Сер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тиф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икате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каче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ства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В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ставка в пяточную часть п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озволяет максимально приблизить конструкцию сапога к ана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томическому строению ноги. Регулировка голенища п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  <w:t xml:space="preserve">о объёму для обеспечения герметичности и водонепроницаемости сапог.</w:t>
            </w:r>
            <w:r>
              <w:rPr>
                <w:rFonts w:ascii="Tinos" w:hAnsi="Tinos" w:eastAsia="Tinos" w:cs="Tinos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nos" w:hAnsi="Tinos" w:cs="Tinos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686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1" w:type="pct"/>
            <w:vAlign w:val="center"/>
            <w:textDirection w:val="lrTb"/>
            <w:noWrap w:val="false"/>
          </w:tcPr>
          <w:p>
            <w:pPr>
              <w:pStyle w:val="954"/>
              <w:jc w:val="center"/>
            </w:pPr>
            <w:r>
              <w:t xml:space="preserve">7</w:t>
            </w:r>
            <w:r/>
          </w:p>
        </w:tc>
        <w:tc>
          <w:tcPr>
            <w:tcW w:w="841" w:type="pct"/>
            <w:vAlign w:val="top"/>
            <w:textDirection w:val="lrTb"/>
            <w:noWrap w:val="false"/>
          </w:tcPr>
          <w:p>
            <w:pPr>
              <w:pStyle w:val="954"/>
              <w:jc w:val="left"/>
            </w:pPr>
            <w:r>
              <w:t xml:space="preserve">Сапог</w:t>
            </w:r>
            <w:r>
              <w:t xml:space="preserve">и резиновые с защитным подноском</w:t>
            </w:r>
            <w:r/>
          </w:p>
        </w:tc>
        <w:tc>
          <w:tcPr>
            <w:tcW w:w="766" w:type="pct"/>
            <w:vAlign w:val="top"/>
            <w:textDirection w:val="lrTb"/>
            <w:noWrap w:val="false"/>
          </w:tcPr>
          <w:p>
            <w:pPr>
              <w:pStyle w:val="89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 xml:space="preserve">ISO 4643-2013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8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5375-79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98"/>
            </w:pPr>
            <w:r>
              <w:rPr>
                <w:sz w:val="20"/>
                <w:szCs w:val="20"/>
              </w:rPr>
              <w:t xml:space="preserve">ГОСТ 5375-79</w:t>
            </w:r>
            <w:r/>
          </w:p>
        </w:tc>
        <w:tc>
          <w:tcPr>
            <w:tcW w:w="1546" w:type="pct"/>
            <w:vAlign w:val="top"/>
            <w:textDirection w:val="lrTb"/>
            <w:noWrap w:val="false"/>
          </w:tcPr>
          <w:p>
            <w:pPr>
              <w:pStyle w:val="954"/>
              <w:jc w:val="lef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ПВХ (МБС подошва) с защитным подноско</w:t>
            </w:r>
            <w:r>
              <w:rPr>
                <w:rFonts w:ascii="Tinos" w:hAnsi="Tinos" w:eastAsia="Tinos" w:cs="Tinos"/>
              </w:rPr>
              <w:t xml:space="preserve">м из</w:t>
            </w:r>
            <w:r>
              <w:rPr>
                <w:rFonts w:ascii="Tinos" w:hAnsi="Tinos" w:eastAsia="Tinos" w:cs="Tinos"/>
              </w:rPr>
              <w:t xml:space="preserve"> композиционного материала (МУН 200 Дж), литье, подкладка трикотаж, рифленая подо</w:t>
            </w:r>
            <w:r>
              <w:rPr>
                <w:rFonts w:ascii="Tinos" w:hAnsi="Tinos" w:eastAsia="Tinos" w:cs="Tinos"/>
              </w:rPr>
              <w:t xml:space="preserve">шва. Материал резина. Высота 38 см. двухслойная вкладная</w:t>
            </w:r>
            <w:r>
              <w:rPr>
                <w:rFonts w:ascii="Tinos" w:hAnsi="Tinos" w:eastAsia="Tinos" w:cs="Tinos"/>
              </w:rPr>
              <w:t xml:space="preserve"> стелька.</w:t>
            </w:r>
            <w:r>
              <w:rPr>
                <w:rFonts w:ascii="Tinos" w:hAnsi="Tinos" w:eastAsia="Tinos" w:cs="Tinos"/>
              </w:rPr>
            </w:r>
          </w:p>
        </w:tc>
        <w:tc>
          <w:tcPr>
            <w:tcW w:w="1686" w:type="pct"/>
            <w:vAlign w:val="top"/>
            <w:textDirection w:val="lrTb"/>
            <w:noWrap w:val="false"/>
          </w:tcPr>
          <w:p>
            <w:pPr>
              <w:pStyle w:val="898"/>
            </w:pPr>
            <w:r/>
            <w:r/>
          </w:p>
        </w:tc>
      </w:tr>
    </w:tbl>
    <w:p>
      <w:pPr>
        <w:pStyle w:val="898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pStyle w:val="89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6838" w:h="11906" w:orient="landscape"/>
      <w:pgMar w:top="1243" w:right="426" w:bottom="521" w:left="42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&amp;quot;Times New Roman&amp;quot;,&amp;quot;serif&amp;quot;">
    <w:panose1 w:val="02000603000000000000"/>
  </w:font>
  <w:font w:name="Tinos">
    <w:panose1 w:val="02020603050405020304"/>
  </w:font>
  <w:font w:name="&amp;quot;Times New Roman CYR&amp;quot;,&amp;quot;serif&amp;quot;">
    <w:panose1 w:val="02000603000000000000"/>
  </w:font>
  <w:font w:name="Calibri">
    <w:panose1 w:val="020F0502020204030204"/>
  </w:font>
  <w:font w:name="Verdana">
    <w:panose1 w:val="020B0606030504020204"/>
  </w:font>
  <w:font w:name="Times New Roman">
    <w:panose1 w:val="02020603050405020304"/>
  </w:font>
  <w:font w:name="Tahoma">
    <w:panose1 w:val="020B0606040504020204"/>
  </w:font>
  <w:font w:name="Times New Roman CYR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separate"/>
    </w:r>
    <w:r>
      <w:rPr>
        <w:rStyle w:val="927"/>
      </w:rPr>
      <w:t xml:space="preserve">2</w: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26"/>
      <w:rPr>
        <w:rStyle w:val="927"/>
      </w:rPr>
      <w:framePr w:wrap="around" w:vAnchor="text" w:hAnchor="margin" w:xAlign="right" w:y="1"/>
    </w:pPr>
    <w:r>
      <w:rPr>
        <w:rStyle w:val="927"/>
      </w:rPr>
    </w:r>
    <w:r>
      <w:rPr>
        <w:rStyle w:val="927"/>
      </w:rPr>
    </w:r>
    <w:r>
      <w:rPr>
        <w:rStyle w:val="927"/>
      </w:rPr>
    </w:r>
  </w:p>
  <w:p>
    <w:pPr>
      <w:pStyle w:val="926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-6984</wp:posOffset>
              </wp:positionH>
              <wp:positionV relativeFrom="paragraph">
                <wp:posOffset>11430</wp:posOffset>
              </wp:positionV>
              <wp:extent cx="6724650" cy="0"/>
              <wp:effectExtent l="0" t="0" r="0" b="0"/>
              <wp:wrapNone/>
              <wp:docPr id="1" name="_x0000_s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1">
                        <a:off x="0" y="0"/>
                        <a:ext cx="6724649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shape 0" o:spid="_x0000_s0" style="position:absolute;left:0;text-align:left;z-index:524288;mso-wrap-distance-left:9.00pt;mso-wrap-distance-top:0.00pt;mso-wrap-distance-right:9.00pt;mso-wrap-distance-bottom:0.00pt;flip:x;visibility:visible;" from="-0.5pt,0.9pt" to="529.0pt,0.9pt" filled="f" strokecolor="#000000"/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separate"/>
    </w:r>
    <w:r>
      <w:rPr>
        <w:rStyle w:val="927"/>
      </w:rPr>
      <w:t xml:space="preserve">2</w: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2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4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07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9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56" w:hanging="180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0">
    <w:name w:val="Heading 1"/>
    <w:basedOn w:val="898"/>
    <w:next w:val="898"/>
    <w:link w:val="72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1">
    <w:name w:val="Heading 1 Char"/>
    <w:link w:val="720"/>
    <w:uiPriority w:val="9"/>
    <w:rPr>
      <w:rFonts w:ascii="Arial" w:hAnsi="Arial" w:eastAsia="Arial" w:cs="Arial"/>
      <w:sz w:val="40"/>
      <w:szCs w:val="40"/>
    </w:rPr>
  </w:style>
  <w:style w:type="paragraph" w:styleId="722">
    <w:name w:val="Heading 2"/>
    <w:basedOn w:val="898"/>
    <w:next w:val="898"/>
    <w:link w:val="72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3">
    <w:name w:val="Heading 2 Char"/>
    <w:link w:val="722"/>
    <w:uiPriority w:val="9"/>
    <w:rPr>
      <w:rFonts w:ascii="Arial" w:hAnsi="Arial" w:eastAsia="Arial" w:cs="Arial"/>
      <w:sz w:val="34"/>
    </w:rPr>
  </w:style>
  <w:style w:type="paragraph" w:styleId="724">
    <w:name w:val="Heading 3"/>
    <w:basedOn w:val="898"/>
    <w:next w:val="898"/>
    <w:link w:val="7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5">
    <w:name w:val="Heading 3 Char"/>
    <w:link w:val="724"/>
    <w:uiPriority w:val="9"/>
    <w:rPr>
      <w:rFonts w:ascii="Arial" w:hAnsi="Arial" w:eastAsia="Arial" w:cs="Arial"/>
      <w:sz w:val="30"/>
      <w:szCs w:val="30"/>
    </w:rPr>
  </w:style>
  <w:style w:type="paragraph" w:styleId="726">
    <w:name w:val="Heading 4"/>
    <w:basedOn w:val="898"/>
    <w:next w:val="898"/>
    <w:link w:val="7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7">
    <w:name w:val="Heading 4 Char"/>
    <w:link w:val="726"/>
    <w:uiPriority w:val="9"/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898"/>
    <w:next w:val="898"/>
    <w:link w:val="7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9">
    <w:name w:val="Heading 5 Char"/>
    <w:link w:val="728"/>
    <w:uiPriority w:val="9"/>
    <w:rPr>
      <w:rFonts w:ascii="Arial" w:hAnsi="Arial" w:eastAsia="Arial" w:cs="Arial"/>
      <w:b/>
      <w:bCs/>
      <w:sz w:val="24"/>
      <w:szCs w:val="24"/>
    </w:rPr>
  </w:style>
  <w:style w:type="paragraph" w:styleId="730">
    <w:name w:val="Heading 6"/>
    <w:basedOn w:val="898"/>
    <w:next w:val="898"/>
    <w:link w:val="7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1">
    <w:name w:val="Heading 6 Char"/>
    <w:link w:val="730"/>
    <w:uiPriority w:val="9"/>
    <w:rPr>
      <w:rFonts w:ascii="Arial" w:hAnsi="Arial" w:eastAsia="Arial" w:cs="Arial"/>
      <w:b/>
      <w:bCs/>
      <w:sz w:val="22"/>
      <w:szCs w:val="22"/>
    </w:rPr>
  </w:style>
  <w:style w:type="paragraph" w:styleId="732">
    <w:name w:val="Heading 7"/>
    <w:basedOn w:val="898"/>
    <w:next w:val="898"/>
    <w:link w:val="7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7 Char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4">
    <w:name w:val="Heading 8"/>
    <w:basedOn w:val="898"/>
    <w:next w:val="898"/>
    <w:link w:val="7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5">
    <w:name w:val="Heading 8 Char"/>
    <w:link w:val="734"/>
    <w:uiPriority w:val="9"/>
    <w:rPr>
      <w:rFonts w:ascii="Arial" w:hAnsi="Arial" w:eastAsia="Arial" w:cs="Arial"/>
      <w:i/>
      <w:iCs/>
      <w:sz w:val="22"/>
      <w:szCs w:val="22"/>
    </w:rPr>
  </w:style>
  <w:style w:type="paragraph" w:styleId="736">
    <w:name w:val="Heading 9"/>
    <w:basedOn w:val="898"/>
    <w:next w:val="898"/>
    <w:link w:val="7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7">
    <w:name w:val="Heading 9 Char"/>
    <w:link w:val="736"/>
    <w:uiPriority w:val="9"/>
    <w:rPr>
      <w:rFonts w:ascii="Arial" w:hAnsi="Arial" w:eastAsia="Arial" w:cs="Arial"/>
      <w:i/>
      <w:iCs/>
      <w:sz w:val="21"/>
      <w:szCs w:val="21"/>
    </w:rPr>
  </w:style>
  <w:style w:type="paragraph" w:styleId="738">
    <w:name w:val="List Paragraph"/>
    <w:basedOn w:val="898"/>
    <w:uiPriority w:val="34"/>
    <w:qFormat/>
    <w:pPr>
      <w:contextualSpacing/>
      <w:ind w:left="720"/>
    </w:pPr>
  </w:style>
  <w:style w:type="paragraph" w:styleId="739">
    <w:name w:val="No Spacing"/>
    <w:uiPriority w:val="1"/>
    <w:qFormat/>
    <w:pPr>
      <w:spacing w:before="0" w:after="0" w:line="240" w:lineRule="auto"/>
    </w:pPr>
  </w:style>
  <w:style w:type="paragraph" w:styleId="740">
    <w:name w:val="Title"/>
    <w:basedOn w:val="898"/>
    <w:next w:val="898"/>
    <w:link w:val="7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1">
    <w:name w:val="Title Char"/>
    <w:link w:val="740"/>
    <w:uiPriority w:val="10"/>
    <w:rPr>
      <w:sz w:val="48"/>
      <w:szCs w:val="48"/>
    </w:rPr>
  </w:style>
  <w:style w:type="paragraph" w:styleId="742">
    <w:name w:val="Subtitle"/>
    <w:basedOn w:val="898"/>
    <w:next w:val="898"/>
    <w:link w:val="743"/>
    <w:uiPriority w:val="11"/>
    <w:qFormat/>
    <w:pPr>
      <w:spacing w:before="200" w:after="200"/>
    </w:pPr>
    <w:rPr>
      <w:sz w:val="24"/>
      <w:szCs w:val="24"/>
    </w:rPr>
  </w:style>
  <w:style w:type="character" w:styleId="743">
    <w:name w:val="Subtitle Char"/>
    <w:link w:val="742"/>
    <w:uiPriority w:val="11"/>
    <w:rPr>
      <w:sz w:val="24"/>
      <w:szCs w:val="24"/>
    </w:rPr>
  </w:style>
  <w:style w:type="paragraph" w:styleId="744">
    <w:name w:val="Quote"/>
    <w:basedOn w:val="898"/>
    <w:next w:val="898"/>
    <w:link w:val="745"/>
    <w:uiPriority w:val="29"/>
    <w:qFormat/>
    <w:pPr>
      <w:ind w:left="720" w:right="720"/>
    </w:pPr>
    <w:rPr>
      <w:i/>
    </w:rPr>
  </w:style>
  <w:style w:type="character" w:styleId="745">
    <w:name w:val="Quote Char"/>
    <w:link w:val="744"/>
    <w:uiPriority w:val="29"/>
    <w:rPr>
      <w:i/>
    </w:rPr>
  </w:style>
  <w:style w:type="paragraph" w:styleId="746">
    <w:name w:val="Intense Quote"/>
    <w:basedOn w:val="898"/>
    <w:next w:val="898"/>
    <w:link w:val="7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7">
    <w:name w:val="Intense Quote Char"/>
    <w:link w:val="746"/>
    <w:uiPriority w:val="30"/>
    <w:rPr>
      <w:i/>
    </w:rPr>
  </w:style>
  <w:style w:type="paragraph" w:styleId="748">
    <w:name w:val="Header"/>
    <w:basedOn w:val="898"/>
    <w:link w:val="7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9">
    <w:name w:val="Header Char"/>
    <w:link w:val="748"/>
    <w:uiPriority w:val="99"/>
  </w:style>
  <w:style w:type="paragraph" w:styleId="750">
    <w:name w:val="Footer"/>
    <w:basedOn w:val="898"/>
    <w:link w:val="75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1">
    <w:name w:val="Footer Char"/>
    <w:link w:val="750"/>
    <w:uiPriority w:val="99"/>
  </w:style>
  <w:style w:type="paragraph" w:styleId="752">
    <w:name w:val="Caption"/>
    <w:basedOn w:val="898"/>
    <w:next w:val="898"/>
    <w:link w:val="7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3">
    <w:name w:val="Caption Char"/>
    <w:link w:val="752"/>
    <w:uiPriority w:val="35"/>
    <w:rPr>
      <w:b/>
      <w:bCs/>
      <w:color w:val="4f81bd" w:themeColor="accent1"/>
      <w:sz w:val="18"/>
      <w:szCs w:val="18"/>
    </w:rPr>
  </w:style>
  <w:style w:type="table" w:styleId="75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0">
    <w:name w:val="Hyperlink"/>
    <w:uiPriority w:val="99"/>
    <w:unhideWhenUsed/>
    <w:rPr>
      <w:color w:val="0000ff" w:themeColor="hyperlink"/>
      <w:u w:val="single"/>
    </w:rPr>
  </w:style>
  <w:style w:type="paragraph" w:styleId="881">
    <w:name w:val="footnote text"/>
    <w:basedOn w:val="898"/>
    <w:link w:val="882"/>
    <w:uiPriority w:val="99"/>
    <w:semiHidden/>
    <w:unhideWhenUsed/>
    <w:pPr>
      <w:spacing w:after="40" w:line="240" w:lineRule="auto"/>
    </w:pPr>
    <w:rPr>
      <w:sz w:val="18"/>
    </w:rPr>
  </w:style>
  <w:style w:type="character" w:styleId="882">
    <w:name w:val="Footnote Text Char"/>
    <w:link w:val="881"/>
    <w:uiPriority w:val="99"/>
    <w:rPr>
      <w:sz w:val="18"/>
    </w:rPr>
  </w:style>
  <w:style w:type="character" w:styleId="883">
    <w:name w:val="footnote reference"/>
    <w:uiPriority w:val="99"/>
    <w:unhideWhenUsed/>
    <w:rPr>
      <w:vertAlign w:val="superscript"/>
    </w:rPr>
  </w:style>
  <w:style w:type="paragraph" w:styleId="884">
    <w:name w:val="endnote text"/>
    <w:basedOn w:val="898"/>
    <w:link w:val="885"/>
    <w:uiPriority w:val="99"/>
    <w:semiHidden/>
    <w:unhideWhenUsed/>
    <w:pPr>
      <w:spacing w:after="0" w:line="240" w:lineRule="auto"/>
    </w:pPr>
    <w:rPr>
      <w:sz w:val="20"/>
    </w:rPr>
  </w:style>
  <w:style w:type="character" w:styleId="885">
    <w:name w:val="Endnote Text Char"/>
    <w:link w:val="884"/>
    <w:uiPriority w:val="99"/>
    <w:rPr>
      <w:sz w:val="20"/>
    </w:rPr>
  </w:style>
  <w:style w:type="character" w:styleId="886">
    <w:name w:val="endnote reference"/>
    <w:uiPriority w:val="99"/>
    <w:semiHidden/>
    <w:unhideWhenUsed/>
    <w:rPr>
      <w:vertAlign w:val="superscript"/>
    </w:rPr>
  </w:style>
  <w:style w:type="paragraph" w:styleId="887">
    <w:name w:val="toc 1"/>
    <w:basedOn w:val="898"/>
    <w:next w:val="898"/>
    <w:uiPriority w:val="39"/>
    <w:unhideWhenUsed/>
    <w:pPr>
      <w:ind w:left="0" w:right="0" w:firstLine="0"/>
      <w:spacing w:after="57"/>
    </w:pPr>
  </w:style>
  <w:style w:type="paragraph" w:styleId="888">
    <w:name w:val="toc 2"/>
    <w:basedOn w:val="898"/>
    <w:next w:val="898"/>
    <w:uiPriority w:val="39"/>
    <w:unhideWhenUsed/>
    <w:pPr>
      <w:ind w:left="283" w:right="0" w:firstLine="0"/>
      <w:spacing w:after="57"/>
    </w:pPr>
  </w:style>
  <w:style w:type="paragraph" w:styleId="889">
    <w:name w:val="toc 3"/>
    <w:basedOn w:val="898"/>
    <w:next w:val="898"/>
    <w:uiPriority w:val="39"/>
    <w:unhideWhenUsed/>
    <w:pPr>
      <w:ind w:left="567" w:right="0" w:firstLine="0"/>
      <w:spacing w:after="57"/>
    </w:pPr>
  </w:style>
  <w:style w:type="paragraph" w:styleId="890">
    <w:name w:val="toc 4"/>
    <w:basedOn w:val="898"/>
    <w:next w:val="898"/>
    <w:uiPriority w:val="39"/>
    <w:unhideWhenUsed/>
    <w:pPr>
      <w:ind w:left="850" w:right="0" w:firstLine="0"/>
      <w:spacing w:after="57"/>
    </w:pPr>
  </w:style>
  <w:style w:type="paragraph" w:styleId="891">
    <w:name w:val="toc 5"/>
    <w:basedOn w:val="898"/>
    <w:next w:val="898"/>
    <w:uiPriority w:val="39"/>
    <w:unhideWhenUsed/>
    <w:pPr>
      <w:ind w:left="1134" w:right="0" w:firstLine="0"/>
      <w:spacing w:after="57"/>
    </w:pPr>
  </w:style>
  <w:style w:type="paragraph" w:styleId="892">
    <w:name w:val="toc 6"/>
    <w:basedOn w:val="898"/>
    <w:next w:val="898"/>
    <w:uiPriority w:val="39"/>
    <w:unhideWhenUsed/>
    <w:pPr>
      <w:ind w:left="1417" w:right="0" w:firstLine="0"/>
      <w:spacing w:after="57"/>
    </w:pPr>
  </w:style>
  <w:style w:type="paragraph" w:styleId="893">
    <w:name w:val="toc 7"/>
    <w:basedOn w:val="898"/>
    <w:next w:val="898"/>
    <w:uiPriority w:val="39"/>
    <w:unhideWhenUsed/>
    <w:pPr>
      <w:ind w:left="1701" w:right="0" w:firstLine="0"/>
      <w:spacing w:after="57"/>
    </w:pPr>
  </w:style>
  <w:style w:type="paragraph" w:styleId="894">
    <w:name w:val="toc 8"/>
    <w:basedOn w:val="898"/>
    <w:next w:val="898"/>
    <w:uiPriority w:val="39"/>
    <w:unhideWhenUsed/>
    <w:pPr>
      <w:ind w:left="1984" w:right="0" w:firstLine="0"/>
      <w:spacing w:after="57"/>
    </w:pPr>
  </w:style>
  <w:style w:type="paragraph" w:styleId="895">
    <w:name w:val="toc 9"/>
    <w:basedOn w:val="898"/>
    <w:next w:val="898"/>
    <w:uiPriority w:val="39"/>
    <w:unhideWhenUsed/>
    <w:pPr>
      <w:ind w:left="2268" w:right="0" w:firstLine="0"/>
      <w:spacing w:after="57"/>
    </w:pPr>
  </w:style>
  <w:style w:type="paragraph" w:styleId="896">
    <w:name w:val="TOC Heading"/>
    <w:uiPriority w:val="39"/>
    <w:unhideWhenUsed/>
  </w:style>
  <w:style w:type="paragraph" w:styleId="897">
    <w:name w:val="table of figures"/>
    <w:basedOn w:val="898"/>
    <w:next w:val="898"/>
    <w:uiPriority w:val="99"/>
    <w:unhideWhenUsed/>
    <w:pPr>
      <w:spacing w:after="0" w:afterAutospacing="0"/>
    </w:pPr>
  </w:style>
  <w:style w:type="paragraph" w:styleId="898" w:default="1">
    <w:name w:val="Normal"/>
    <w:next w:val="898"/>
    <w:link w:val="898"/>
    <w:qFormat/>
    <w:rPr>
      <w:sz w:val="24"/>
      <w:szCs w:val="24"/>
      <w:lang w:val="ru-RU" w:eastAsia="ru-RU" w:bidi="ar-SA"/>
    </w:rPr>
  </w:style>
  <w:style w:type="paragraph" w:styleId="899">
    <w:name w:val="Заголовок 1"/>
    <w:next w:val="898"/>
    <w:link w:val="898"/>
    <w:qFormat/>
    <w:pPr>
      <w:ind w:left="2552"/>
      <w:jc w:val="center"/>
      <w:keepNext/>
      <w:spacing w:before="240" w:after="120"/>
      <w:outlineLvl w:val="0"/>
    </w:pPr>
    <w:rPr>
      <w:rFonts w:ascii="Arial" w:hAnsi="Arial"/>
      <w:b/>
      <w:sz w:val="28"/>
      <w:lang w:val="ru-RU" w:eastAsia="ru-RU" w:bidi="ar-SA"/>
    </w:rPr>
  </w:style>
  <w:style w:type="paragraph" w:styleId="900">
    <w:name w:val="Заголовок 2"/>
    <w:next w:val="898"/>
    <w:link w:val="898"/>
    <w:qFormat/>
    <w:pPr>
      <w:ind w:left="2552"/>
      <w:jc w:val="center"/>
      <w:keepNext/>
      <w:spacing w:before="240" w:after="120"/>
      <w:outlineLvl w:val="1"/>
    </w:pPr>
    <w:rPr>
      <w:rFonts w:ascii="Arial" w:hAnsi="Arial"/>
      <w:sz w:val="28"/>
      <w:lang w:val="ru-RU" w:eastAsia="ru-RU" w:bidi="ar-SA"/>
    </w:rPr>
  </w:style>
  <w:style w:type="paragraph" w:styleId="901">
    <w:name w:val="Заголовок 3"/>
    <w:basedOn w:val="898"/>
    <w:next w:val="898"/>
    <w:link w:val="89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02">
    <w:name w:val="Заголовок 4"/>
    <w:next w:val="898"/>
    <w:link w:val="898"/>
    <w:qFormat/>
    <w:pPr>
      <w:ind w:left="2552"/>
      <w:keepNext/>
      <w:spacing w:before="240" w:after="60"/>
      <w:outlineLvl w:val="3"/>
    </w:pPr>
    <w:rPr>
      <w:rFonts w:ascii="Arial" w:hAnsi="Arial"/>
      <w:b/>
      <w:sz w:val="24"/>
      <w:lang w:val="ru-RU" w:eastAsia="ru-RU" w:bidi="ar-SA"/>
    </w:rPr>
  </w:style>
  <w:style w:type="paragraph" w:styleId="903">
    <w:name w:val="Заголовок 5"/>
    <w:next w:val="898"/>
    <w:link w:val="898"/>
    <w:qFormat/>
    <w:pPr>
      <w:ind w:left="2552"/>
      <w:spacing w:before="240" w:after="60"/>
      <w:outlineLvl w:val="4"/>
    </w:pPr>
    <w:rPr>
      <w:rFonts w:ascii="Arial" w:hAnsi="Arial"/>
      <w:sz w:val="24"/>
      <w:lang w:val="ru-RU" w:eastAsia="ru-RU" w:bidi="ar-SA"/>
    </w:rPr>
  </w:style>
  <w:style w:type="paragraph" w:styleId="904">
    <w:name w:val="Заголовок 6"/>
    <w:next w:val="898"/>
    <w:link w:val="898"/>
    <w:qFormat/>
    <w:pPr>
      <w:ind w:left="2552"/>
      <w:spacing w:before="240" w:after="60"/>
      <w:outlineLvl w:val="5"/>
    </w:pPr>
    <w:rPr>
      <w:i/>
      <w:sz w:val="24"/>
      <w:lang w:val="ru-RU" w:eastAsia="ru-RU" w:bidi="ar-SA"/>
    </w:rPr>
  </w:style>
  <w:style w:type="paragraph" w:styleId="905">
    <w:name w:val="Заголовок 7"/>
    <w:basedOn w:val="899"/>
    <w:next w:val="898"/>
    <w:link w:val="898"/>
    <w:qFormat/>
    <w:pPr>
      <w:jc w:val="right"/>
      <w:outlineLvl w:val="6"/>
    </w:pPr>
  </w:style>
  <w:style w:type="paragraph" w:styleId="906">
    <w:name w:val="Заголовок 8"/>
    <w:basedOn w:val="898"/>
    <w:next w:val="898"/>
    <w:link w:val="898"/>
    <w:qFormat/>
    <w:pPr>
      <w:ind w:left="2552"/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07">
    <w:name w:val="Заголовок 9"/>
    <w:basedOn w:val="898"/>
    <w:next w:val="898"/>
    <w:link w:val="898"/>
    <w:qFormat/>
    <w:pPr>
      <w:ind w:left="2552"/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styleId="908">
    <w:name w:val="Основной шрифт абзаца"/>
    <w:next w:val="908"/>
    <w:link w:val="898"/>
    <w:semiHidden/>
  </w:style>
  <w:style w:type="table" w:styleId="909">
    <w:name w:val="Обычная таблица"/>
    <w:next w:val="909"/>
    <w:link w:val="898"/>
    <w:semiHidden/>
    <w:tblPr/>
  </w:style>
  <w:style w:type="numbering" w:styleId="910">
    <w:name w:val="Нет списка"/>
    <w:next w:val="910"/>
    <w:link w:val="898"/>
    <w:semiHidden/>
  </w:style>
  <w:style w:type="paragraph" w:styleId="911">
    <w:name w:val="Оглавление 1"/>
    <w:basedOn w:val="898"/>
    <w:next w:val="898"/>
    <w:link w:val="898"/>
    <w:semiHidden/>
    <w:pPr>
      <w:jc w:val="center"/>
      <w:spacing w:before="240" w:after="120"/>
      <w:tabs>
        <w:tab w:val="right" w:pos="10131" w:leader="dot"/>
      </w:tabs>
    </w:pPr>
    <w:rPr>
      <w:b/>
      <w:bCs/>
      <w:sz w:val="20"/>
      <w:szCs w:val="20"/>
    </w:rPr>
  </w:style>
  <w:style w:type="paragraph" w:styleId="912">
    <w:name w:val="Оглавление 2"/>
    <w:basedOn w:val="898"/>
    <w:next w:val="898"/>
    <w:link w:val="898"/>
    <w:semiHidden/>
    <w:pPr>
      <w:ind w:left="240"/>
      <w:spacing w:before="120"/>
      <w:tabs>
        <w:tab w:val="left" w:pos="616" w:leader="none"/>
        <w:tab w:val="right" w:pos="10153" w:leader="dot"/>
      </w:tabs>
    </w:pPr>
    <w:rPr>
      <w:i/>
      <w:iCs/>
      <w:sz w:val="20"/>
      <w:szCs w:val="20"/>
    </w:rPr>
  </w:style>
  <w:style w:type="paragraph" w:styleId="913">
    <w:name w:val="Оглавление 3"/>
    <w:basedOn w:val="898"/>
    <w:next w:val="898"/>
    <w:link w:val="898"/>
    <w:semiHidden/>
    <w:pPr>
      <w:ind w:left="480"/>
      <w:tabs>
        <w:tab w:val="right" w:pos="10142" w:leader="dot"/>
      </w:tabs>
    </w:pPr>
    <w:rPr>
      <w:sz w:val="20"/>
      <w:szCs w:val="20"/>
    </w:rPr>
  </w:style>
  <w:style w:type="paragraph" w:styleId="914">
    <w:name w:val="Оглавление 4"/>
    <w:basedOn w:val="898"/>
    <w:next w:val="898"/>
    <w:link w:val="898"/>
    <w:semiHidden/>
    <w:pPr>
      <w:ind w:left="720"/>
    </w:pPr>
    <w:rPr>
      <w:sz w:val="20"/>
      <w:szCs w:val="20"/>
    </w:rPr>
  </w:style>
  <w:style w:type="paragraph" w:styleId="915">
    <w:name w:val="Оглавление 5"/>
    <w:basedOn w:val="898"/>
    <w:next w:val="898"/>
    <w:link w:val="898"/>
    <w:semiHidden/>
    <w:pPr>
      <w:ind w:left="960"/>
    </w:pPr>
    <w:rPr>
      <w:sz w:val="20"/>
      <w:szCs w:val="20"/>
    </w:rPr>
  </w:style>
  <w:style w:type="paragraph" w:styleId="916">
    <w:name w:val="Оглавление 6"/>
    <w:basedOn w:val="898"/>
    <w:next w:val="898"/>
    <w:link w:val="898"/>
    <w:semiHidden/>
    <w:pPr>
      <w:ind w:left="1200"/>
    </w:pPr>
    <w:rPr>
      <w:sz w:val="20"/>
      <w:szCs w:val="20"/>
    </w:rPr>
  </w:style>
  <w:style w:type="paragraph" w:styleId="917">
    <w:name w:val="Оглавление 7"/>
    <w:basedOn w:val="898"/>
    <w:next w:val="898"/>
    <w:link w:val="898"/>
    <w:semiHidden/>
    <w:pPr>
      <w:ind w:left="1440"/>
    </w:pPr>
    <w:rPr>
      <w:sz w:val="20"/>
      <w:szCs w:val="20"/>
    </w:rPr>
  </w:style>
  <w:style w:type="paragraph" w:styleId="918">
    <w:name w:val="Оглавление 8"/>
    <w:basedOn w:val="898"/>
    <w:next w:val="898"/>
    <w:link w:val="898"/>
    <w:semiHidden/>
    <w:pPr>
      <w:ind w:left="1680"/>
    </w:pPr>
    <w:rPr>
      <w:sz w:val="20"/>
      <w:szCs w:val="20"/>
    </w:rPr>
  </w:style>
  <w:style w:type="paragraph" w:styleId="919">
    <w:name w:val="Оглавление 9"/>
    <w:basedOn w:val="898"/>
    <w:next w:val="898"/>
    <w:link w:val="898"/>
    <w:semiHidden/>
    <w:pPr>
      <w:ind w:left="1920"/>
    </w:pPr>
    <w:rPr>
      <w:sz w:val="20"/>
      <w:szCs w:val="20"/>
    </w:rPr>
  </w:style>
  <w:style w:type="character" w:styleId="920">
    <w:name w:val="Гиперссылка"/>
    <w:next w:val="920"/>
    <w:link w:val="898"/>
    <w:rPr>
      <w:color w:val="0000ff"/>
      <w:u w:val="single"/>
    </w:rPr>
  </w:style>
  <w:style w:type="paragraph" w:styleId="921">
    <w:name w:val="Основной текст с отступом 2"/>
    <w:basedOn w:val="898"/>
    <w:next w:val="921"/>
    <w:link w:val="898"/>
    <w:pPr>
      <w:ind w:left="709"/>
      <w:jc w:val="both"/>
      <w:spacing w:line="360" w:lineRule="auto"/>
      <w:widowControl w:val="off"/>
    </w:pPr>
    <w:rPr>
      <w:rFonts w:ascii="Times New Roman CYR" w:hAnsi="Times New Roman CYR" w:cs="Times New Roman CYR"/>
    </w:rPr>
  </w:style>
  <w:style w:type="paragraph" w:styleId="922">
    <w:name w:val="Обычный + Первая строка:  1,03 см"/>
    <w:basedOn w:val="898"/>
    <w:next w:val="922"/>
    <w:link w:val="898"/>
    <w:pPr>
      <w:ind w:left="-22" w:firstLine="594"/>
      <w:jc w:val="both"/>
    </w:pPr>
  </w:style>
  <w:style w:type="paragraph" w:styleId="923">
    <w:name w:val="ТекстОбычный"/>
    <w:next w:val="923"/>
    <w:link w:val="898"/>
    <w:pPr>
      <w:ind w:firstLine="851"/>
      <w:jc w:val="both"/>
      <w:spacing w:line="360" w:lineRule="auto"/>
    </w:pPr>
    <w:rPr>
      <w:sz w:val="24"/>
      <w:lang w:val="ru-RU" w:eastAsia="ru-RU" w:bidi="ar-SA"/>
    </w:rPr>
  </w:style>
  <w:style w:type="paragraph" w:styleId="924">
    <w:name w:val="Основной текст с отступом"/>
    <w:basedOn w:val="898"/>
    <w:next w:val="924"/>
    <w:link w:val="898"/>
    <w:pPr>
      <w:ind w:left="283"/>
      <w:spacing w:after="120"/>
    </w:pPr>
  </w:style>
  <w:style w:type="paragraph" w:styleId="925">
    <w:name w:val="Основной текст с отступом + По ширине,Первая строка:  0 см,Слева:  0 см"/>
    <w:basedOn w:val="924"/>
    <w:next w:val="925"/>
    <w:link w:val="898"/>
    <w:pPr>
      <w:ind w:left="0" w:firstLine="572"/>
      <w:jc w:val="both"/>
    </w:pPr>
  </w:style>
  <w:style w:type="paragraph" w:styleId="926">
    <w:name w:val="Нижний колонтитул"/>
    <w:basedOn w:val="898"/>
    <w:next w:val="926"/>
    <w:link w:val="898"/>
    <w:pPr>
      <w:tabs>
        <w:tab w:val="center" w:pos="4677" w:leader="none"/>
        <w:tab w:val="right" w:pos="9355" w:leader="none"/>
      </w:tabs>
    </w:pPr>
  </w:style>
  <w:style w:type="character" w:styleId="927">
    <w:name w:val="Номер страницы"/>
    <w:basedOn w:val="908"/>
    <w:next w:val="927"/>
    <w:link w:val="898"/>
  </w:style>
  <w:style w:type="paragraph" w:styleId="928">
    <w:name w:val="Основной текст"/>
    <w:basedOn w:val="898"/>
    <w:next w:val="928"/>
    <w:link w:val="898"/>
    <w:pPr>
      <w:spacing w:after="120"/>
    </w:pPr>
  </w:style>
  <w:style w:type="paragraph" w:styleId="929">
    <w:name w:val="Основной текст 2"/>
    <w:basedOn w:val="898"/>
    <w:next w:val="929"/>
    <w:link w:val="898"/>
    <w:pPr>
      <w:spacing w:after="120" w:line="480" w:lineRule="auto"/>
    </w:pPr>
  </w:style>
  <w:style w:type="paragraph" w:styleId="930">
    <w:name w:val="М_списокКрСтрока"/>
    <w:basedOn w:val="898"/>
    <w:next w:val="930"/>
    <w:link w:val="898"/>
    <w:pPr>
      <w:numPr>
        <w:ilvl w:val="10"/>
        <w:numId w:val="0"/>
      </w:numPr>
      <w:ind w:firstLine="851"/>
      <w:jc w:val="both"/>
      <w:spacing w:line="360" w:lineRule="auto"/>
    </w:pPr>
    <w:rPr>
      <w:szCs w:val="20"/>
    </w:rPr>
  </w:style>
  <w:style w:type="paragraph" w:styleId="931">
    <w:name w:val="Н_Список0"/>
    <w:basedOn w:val="923"/>
    <w:next w:val="931"/>
    <w:link w:val="898"/>
    <w:pPr>
      <w:numPr>
        <w:ilvl w:val="11"/>
        <w:numId w:val="0"/>
      </w:numPr>
      <w:ind w:firstLine="0"/>
    </w:pPr>
  </w:style>
  <w:style w:type="paragraph" w:styleId="932">
    <w:name w:val="Основной текст с отступом 3"/>
    <w:basedOn w:val="898"/>
    <w:next w:val="932"/>
    <w:link w:val="898"/>
    <w:pPr>
      <w:ind w:left="283"/>
      <w:spacing w:after="120"/>
    </w:pPr>
    <w:rPr>
      <w:sz w:val="16"/>
      <w:szCs w:val="16"/>
    </w:rPr>
  </w:style>
  <w:style w:type="paragraph" w:styleId="933">
    <w:name w:val="Текст выноски"/>
    <w:basedOn w:val="898"/>
    <w:next w:val="933"/>
    <w:link w:val="898"/>
    <w:semiHidden/>
    <w:rPr>
      <w:rFonts w:ascii="Tahoma" w:hAnsi="Tahoma" w:cs="Tahoma"/>
      <w:sz w:val="16"/>
      <w:szCs w:val="16"/>
    </w:rPr>
  </w:style>
  <w:style w:type="paragraph" w:styleId="934">
    <w:name w:val="М_Список1.5"/>
    <w:basedOn w:val="898"/>
    <w:next w:val="934"/>
    <w:link w:val="898"/>
    <w:pPr>
      <w:numPr>
        <w:ilvl w:val="10"/>
        <w:numId w:val="0"/>
      </w:numPr>
      <w:ind w:left="851"/>
      <w:jc w:val="both"/>
      <w:spacing w:line="360" w:lineRule="auto"/>
    </w:pPr>
    <w:rPr>
      <w:szCs w:val="20"/>
    </w:rPr>
  </w:style>
  <w:style w:type="paragraph" w:styleId="935">
    <w:name w:val="Верхний колонтитул"/>
    <w:basedOn w:val="898"/>
    <w:next w:val="935"/>
    <w:link w:val="952"/>
    <w:uiPriority w:val="99"/>
    <w:pPr>
      <w:tabs>
        <w:tab w:val="center" w:pos="4153" w:leader="none"/>
        <w:tab w:val="right" w:pos="8306" w:leader="none"/>
      </w:tabs>
    </w:pPr>
    <w:rPr>
      <w:sz w:val="22"/>
      <w:szCs w:val="20"/>
      <w:lang w:val="en-US" w:eastAsia="en-US"/>
    </w:rPr>
  </w:style>
  <w:style w:type="paragraph" w:styleId="936">
    <w:name w:val="Обычный (веб)"/>
    <w:basedOn w:val="898"/>
    <w:next w:val="936"/>
    <w:link w:val="898"/>
    <w:uiPriority w:val="99"/>
    <w:pPr>
      <w:jc w:val="both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table" w:styleId="937">
    <w:name w:val="Сетка таблицы"/>
    <w:basedOn w:val="909"/>
    <w:next w:val="937"/>
    <w:link w:val="898"/>
    <w:tblPr/>
  </w:style>
  <w:style w:type="paragraph" w:styleId="938">
    <w:name w:val="Заголовок"/>
    <w:next w:val="928"/>
    <w:link w:val="898"/>
    <w:qFormat/>
    <w:pPr>
      <w:jc w:val="center"/>
      <w:spacing w:before="360" w:after="240"/>
      <w:outlineLvl w:val="0"/>
    </w:pPr>
    <w:rPr>
      <w:rFonts w:cs="Arial"/>
      <w:b/>
      <w:bCs/>
      <w:caps/>
      <w:sz w:val="28"/>
      <w:szCs w:val="32"/>
      <w:lang w:val="ru-RU" w:eastAsia="ru-RU" w:bidi="ar-SA"/>
    </w:rPr>
  </w:style>
  <w:style w:type="paragraph" w:styleId="939">
    <w:name w:val="Обычный 1"/>
    <w:basedOn w:val="898"/>
    <w:next w:val="939"/>
    <w:link w:val="898"/>
    <w:pPr>
      <w:jc w:val="center"/>
      <w:tabs>
        <w:tab w:val="left" w:pos="567" w:leader="none"/>
      </w:tabs>
    </w:pPr>
    <w:rPr>
      <w:rFonts w:ascii="Arial" w:hAnsi="Arial"/>
      <w:b/>
      <w:bCs/>
      <w:sz w:val="22"/>
      <w:szCs w:val="20"/>
      <w:lang w:val="en-US"/>
    </w:rPr>
  </w:style>
  <w:style w:type="character" w:styleId="940">
    <w:name w:val="Обычный 1 Знак"/>
    <w:next w:val="940"/>
    <w:link w:val="898"/>
    <w:rPr>
      <w:rFonts w:ascii="Arial" w:hAnsi="Arial"/>
      <w:b/>
      <w:bCs/>
      <w:sz w:val="22"/>
      <w:lang w:val="en-US" w:eastAsia="ru-RU" w:bidi="ar-SA"/>
    </w:rPr>
  </w:style>
  <w:style w:type="character" w:styleId="941">
    <w:name w:val="Просмотренная гиперссылка"/>
    <w:next w:val="941"/>
    <w:link w:val="898"/>
    <w:rPr>
      <w:color w:val="800080"/>
      <w:u w:val="single"/>
    </w:rPr>
  </w:style>
  <w:style w:type="paragraph" w:styleId="942">
    <w:name w:val="Обычный + полужирный,По ширине"/>
    <w:basedOn w:val="900"/>
    <w:next w:val="942"/>
    <w:link w:val="898"/>
    <w:pPr>
      <w:ind w:left="0"/>
      <w:jc w:val="both"/>
      <w:spacing w:before="0" w:after="0"/>
    </w:pPr>
    <w:rPr>
      <w:rFonts w:ascii="Times New Roman" w:hAnsi="Times New Roman"/>
      <w:b/>
      <w:bCs/>
      <w:sz w:val="24"/>
    </w:rPr>
  </w:style>
  <w:style w:type="paragraph" w:styleId="943">
    <w:name w:val="Указатель 1"/>
    <w:basedOn w:val="898"/>
    <w:next w:val="898"/>
    <w:link w:val="898"/>
    <w:semiHidden/>
    <w:pPr>
      <w:ind w:left="240" w:hanging="240"/>
    </w:pPr>
  </w:style>
  <w:style w:type="paragraph" w:styleId="944">
    <w:name w:val="Указатель"/>
    <w:basedOn w:val="898"/>
    <w:next w:val="943"/>
    <w:link w:val="898"/>
    <w:semiHidden/>
    <w:pPr>
      <w:jc w:val="both"/>
      <w:spacing w:before="60" w:after="60"/>
    </w:pPr>
    <w:rPr>
      <w:rFonts w:ascii="Verdana" w:hAnsi="Verdana"/>
      <w:sz w:val="20"/>
      <w:szCs w:val="20"/>
      <w:lang w:val="en-GB" w:eastAsia="en-US"/>
    </w:rPr>
  </w:style>
  <w:style w:type="paragraph" w:styleId="945">
    <w:name w:val="Название объекта"/>
    <w:basedOn w:val="898"/>
    <w:next w:val="898"/>
    <w:link w:val="898"/>
    <w:qFormat/>
    <w:pPr>
      <w:jc w:val="center"/>
      <w:spacing w:before="60" w:after="240"/>
    </w:pPr>
    <w:rPr>
      <w:rFonts w:ascii="Verdana" w:hAnsi="Verdana"/>
      <w:b/>
      <w:sz w:val="16"/>
      <w:szCs w:val="20"/>
      <w:lang w:val="en-GB" w:eastAsia="en-US"/>
    </w:rPr>
  </w:style>
  <w:style w:type="paragraph" w:styleId="946">
    <w:name w:val="Нумерованный список"/>
    <w:basedOn w:val="898"/>
    <w:next w:val="946"/>
    <w:link w:val="898"/>
    <w:pPr>
      <w:numPr>
        <w:ilvl w:val="0"/>
        <w:numId w:val="1"/>
      </w:numPr>
    </w:pPr>
  </w:style>
  <w:style w:type="character" w:styleId="947">
    <w:name w:val="комментарий"/>
    <w:next w:val="947"/>
    <w:link w:val="898"/>
    <w:rPr>
      <w:b/>
      <w:bCs/>
      <w:i/>
      <w:iCs/>
      <w:sz w:val="28"/>
    </w:rPr>
  </w:style>
  <w:style w:type="paragraph" w:styleId="948">
    <w:name w:val="Схема документа"/>
    <w:basedOn w:val="898"/>
    <w:next w:val="948"/>
    <w:link w:val="898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49">
    <w:name w:val="Абзац списка"/>
    <w:basedOn w:val="898"/>
    <w:next w:val="949"/>
    <w:link w:val="898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950">
    <w:name w:val=".EDA_PARAGRAPH"/>
    <w:next w:val="950"/>
    <w:link w:val="898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paragraph" w:styleId="951">
    <w:name w:val=".MSONORMAL"/>
    <w:next w:val="951"/>
    <w:link w:val="898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character" w:styleId="952">
    <w:name w:val="Верхний колонтитул Знак"/>
    <w:next w:val="952"/>
    <w:link w:val="935"/>
    <w:uiPriority w:val="99"/>
    <w:rPr>
      <w:sz w:val="22"/>
    </w:rPr>
  </w:style>
  <w:style w:type="paragraph" w:styleId="953">
    <w:name w:val="МРСК_таблица_заголовок"/>
    <w:basedOn w:val="898"/>
    <w:next w:val="953"/>
    <w:link w:val="898"/>
    <w:pPr>
      <w:jc w:val="center"/>
      <w:keepNext/>
    </w:pPr>
    <w:rPr>
      <w:sz w:val="20"/>
      <w:szCs w:val="20"/>
    </w:rPr>
  </w:style>
  <w:style w:type="paragraph" w:styleId="954">
    <w:name w:val="МРСК_таблица_текст"/>
    <w:basedOn w:val="953"/>
    <w:next w:val="954"/>
    <w:link w:val="898"/>
    <w:pPr>
      <w:jc w:val="both"/>
    </w:pPr>
  </w:style>
  <w:style w:type="paragraph" w:styleId="955">
    <w:name w:val="МРСК_шрифт_абзаца"/>
    <w:basedOn w:val="898"/>
    <w:next w:val="955"/>
    <w:link w:val="956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lang w:val="en-US" w:eastAsia="en-US"/>
    </w:rPr>
  </w:style>
  <w:style w:type="character" w:styleId="956">
    <w:name w:val="МРСК_шрифт_абзаца Знак"/>
    <w:next w:val="956"/>
    <w:link w:val="955"/>
    <w:rPr>
      <w:sz w:val="24"/>
      <w:szCs w:val="24"/>
      <w:lang w:val="en-US" w:eastAsia="en-US"/>
    </w:rPr>
  </w:style>
  <w:style w:type="paragraph" w:styleId="957">
    <w:name w:val=".MSONORMALCXSPMIDDLE"/>
    <w:next w:val="957"/>
    <w:link w:val="898"/>
    <w:uiPriority w:val="99"/>
    <w:pPr>
      <w:widowControl w:val="off"/>
    </w:pPr>
    <w:rPr>
      <w:rFonts w:ascii="&quot;Times New Roman&quot;,&quot;serif&quot;" w:hAnsi="&quot;Times New Roman&quot;,&quot;serif&quot;"/>
      <w:sz w:val="24"/>
      <w:szCs w:val="24"/>
      <w:lang w:val="ru-RU" w:eastAsia="ru-RU" w:bidi="ar-SA"/>
    </w:rPr>
  </w:style>
  <w:style w:type="paragraph" w:styleId="958">
    <w:name w:val="Без интервала"/>
    <w:next w:val="958"/>
    <w:link w:val="959"/>
    <w:uiPriority w:val="1"/>
    <w:qFormat/>
    <w:rPr>
      <w:rFonts w:ascii="Calibri" w:hAnsi="Calibri"/>
      <w:sz w:val="22"/>
      <w:szCs w:val="22"/>
      <w:lang w:val="ru-RU" w:eastAsia="en-US" w:bidi="ar-SA"/>
    </w:rPr>
  </w:style>
  <w:style w:type="character" w:styleId="959">
    <w:name w:val="Без интервала Знак"/>
    <w:next w:val="959"/>
    <w:link w:val="958"/>
    <w:uiPriority w:val="1"/>
    <w:rPr>
      <w:rFonts w:ascii="Calibri" w:hAnsi="Calibri"/>
      <w:sz w:val="22"/>
      <w:szCs w:val="22"/>
      <w:lang w:eastAsia="en-US"/>
    </w:rPr>
  </w:style>
  <w:style w:type="character" w:styleId="960">
    <w:name w:val="Знак примечания"/>
    <w:next w:val="960"/>
    <w:link w:val="898"/>
    <w:rPr>
      <w:sz w:val="16"/>
      <w:szCs w:val="16"/>
    </w:rPr>
  </w:style>
  <w:style w:type="paragraph" w:styleId="961">
    <w:name w:val="Текст примечания"/>
    <w:basedOn w:val="898"/>
    <w:next w:val="961"/>
    <w:link w:val="962"/>
    <w:rPr>
      <w:sz w:val="20"/>
      <w:szCs w:val="20"/>
    </w:rPr>
  </w:style>
  <w:style w:type="character" w:styleId="962">
    <w:name w:val="Текст примечания Знак"/>
    <w:basedOn w:val="908"/>
    <w:next w:val="962"/>
    <w:link w:val="961"/>
  </w:style>
  <w:style w:type="paragraph" w:styleId="963">
    <w:name w:val="Тема примечания"/>
    <w:basedOn w:val="961"/>
    <w:next w:val="961"/>
    <w:link w:val="964"/>
    <w:rPr>
      <w:b/>
      <w:bCs/>
    </w:rPr>
  </w:style>
  <w:style w:type="character" w:styleId="964">
    <w:name w:val="Тема примечания Знак"/>
    <w:next w:val="964"/>
    <w:link w:val="963"/>
    <w:rPr>
      <w:b/>
      <w:bCs/>
    </w:rPr>
  </w:style>
  <w:style w:type="paragraph" w:styleId="965">
    <w:name w:val="Рецензия"/>
    <w:next w:val="965"/>
    <w:link w:val="898"/>
    <w:hidden/>
    <w:uiPriority w:val="99"/>
    <w:semiHidden/>
    <w:rPr>
      <w:sz w:val="24"/>
      <w:szCs w:val="24"/>
      <w:lang w:val="ru-RU" w:eastAsia="ru-RU" w:bidi="ar-SA"/>
    </w:rPr>
  </w:style>
  <w:style w:type="character" w:styleId="966">
    <w:name w:val="Выделение"/>
    <w:next w:val="966"/>
    <w:link w:val="898"/>
    <w:uiPriority w:val="20"/>
    <w:qFormat/>
    <w:rPr>
      <w:i/>
      <w:iCs/>
    </w:rPr>
  </w:style>
  <w:style w:type="character" w:styleId="967" w:default="1">
    <w:name w:val="Default Paragraph Font"/>
    <w:uiPriority w:val="1"/>
    <w:semiHidden/>
    <w:unhideWhenUsed/>
  </w:style>
  <w:style w:type="numbering" w:styleId="968" w:default="1">
    <w:name w:val="No List"/>
    <w:uiPriority w:val="99"/>
    <w:semiHidden/>
    <w:unhideWhenUsed/>
  </w:style>
  <w:style w:type="table" w:styleId="9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p4</dc:creator>
  <cp:lastModifiedBy>yaskinaiv</cp:lastModifiedBy>
  <cp:revision>4</cp:revision>
  <dcterms:created xsi:type="dcterms:W3CDTF">2023-10-25T10:31:00Z</dcterms:created>
  <dcterms:modified xsi:type="dcterms:W3CDTF">2025-03-24T07:08:56Z</dcterms:modified>
  <cp:version>1048576</cp:version>
</cp:coreProperties>
</file>